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96"/>
          <w:szCs w:val="9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96"/>
          <w:szCs w:val="96"/>
          <w:highlight w:val="none"/>
        </w:rPr>
        <w:t>结构力学智能交互平台</w:t>
      </w: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color w:val="0000FF"/>
          <w:sz w:val="72"/>
          <w:szCs w:val="72"/>
          <w:lang w:val="en-US" w:eastAsia="zh-CN"/>
        </w:rPr>
        <w:t>S</w:t>
      </w:r>
      <w:r>
        <w:rPr>
          <w:rFonts w:hint="eastAsia"/>
          <w:b/>
          <w:bCs/>
          <w:sz w:val="48"/>
          <w:szCs w:val="48"/>
          <w:lang w:val="en-US" w:eastAsia="zh-CN"/>
        </w:rPr>
        <w:t>TRUCTURE</w:t>
      </w:r>
      <w:r>
        <w:rPr>
          <w:rFonts w:hint="eastAsia"/>
          <w:b/>
          <w:bCs/>
          <w:color w:val="0000FF"/>
          <w:sz w:val="48"/>
          <w:szCs w:val="48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sz w:val="72"/>
          <w:szCs w:val="72"/>
          <w:lang w:val="en-US" w:eastAsia="zh-CN"/>
        </w:rPr>
        <w:t>M</w:t>
      </w:r>
      <w:r>
        <w:rPr>
          <w:rFonts w:hint="eastAsia"/>
          <w:b/>
          <w:bCs/>
          <w:sz w:val="48"/>
          <w:szCs w:val="48"/>
          <w:lang w:val="en-US" w:eastAsia="zh-CN"/>
        </w:rPr>
        <w:t xml:space="preserve">ECHNICS </w:t>
      </w:r>
      <w:r>
        <w:rPr>
          <w:rFonts w:hint="eastAsia"/>
          <w:b/>
          <w:bCs/>
          <w:color w:val="0000FF"/>
          <w:sz w:val="72"/>
          <w:szCs w:val="72"/>
          <w:lang w:val="en-US" w:eastAsia="zh-CN"/>
        </w:rPr>
        <w:t>I</w:t>
      </w:r>
      <w:r>
        <w:rPr>
          <w:rFonts w:hint="eastAsia"/>
          <w:b/>
          <w:bCs/>
          <w:sz w:val="48"/>
          <w:szCs w:val="48"/>
          <w:lang w:val="en-US" w:eastAsia="zh-CN"/>
        </w:rPr>
        <w:t>NTELLIGENCE INTER</w:t>
      </w:r>
      <w:r>
        <w:rPr>
          <w:rFonts w:hint="eastAsia"/>
          <w:b/>
          <w:bCs/>
          <w:color w:val="0000FF"/>
          <w:sz w:val="72"/>
          <w:szCs w:val="72"/>
          <w:lang w:val="en-US" w:eastAsia="zh-CN"/>
        </w:rPr>
        <w:t>A</w:t>
      </w:r>
      <w:r>
        <w:rPr>
          <w:rFonts w:hint="eastAsia"/>
          <w:b/>
          <w:bCs/>
          <w:sz w:val="48"/>
          <w:szCs w:val="48"/>
          <w:lang w:val="en-US" w:eastAsia="zh-CN"/>
        </w:rPr>
        <w:t>CTING</w:t>
      </w:r>
    </w:p>
    <w:p>
      <w:pPr>
        <w:jc w:val="center"/>
        <w:rPr>
          <w:b/>
          <w:bCs/>
          <w:sz w:val="52"/>
          <w:szCs w:val="5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158115</wp:posOffset>
            </wp:positionV>
            <wp:extent cx="1039495" cy="1031240"/>
            <wp:effectExtent l="9525" t="9525" r="17780" b="26035"/>
            <wp:wrapNone/>
            <wp:docPr id="1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03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Ver.</w:t>
      </w:r>
      <w:r>
        <w:rPr>
          <w:rFonts w:hint="eastAsia"/>
          <w:b/>
          <w:bCs/>
          <w:sz w:val="52"/>
          <w:szCs w:val="52"/>
        </w:rPr>
        <w:t>1.0</w:t>
      </w:r>
      <w:r>
        <w:rPr>
          <w:rFonts w:hint="eastAsia"/>
          <w:b/>
          <w:bCs/>
          <w:sz w:val="52"/>
          <w:szCs w:val="52"/>
          <w:lang w:val="en-US" w:eastAsia="zh-CN"/>
        </w:rPr>
        <w:t xml:space="preserve">.2  </w:t>
      </w:r>
      <w:r>
        <w:rPr>
          <w:rFonts w:hint="eastAsia"/>
          <w:b/>
          <w:bCs/>
          <w:sz w:val="52"/>
          <w:szCs w:val="52"/>
        </w:rPr>
        <w:t>for Windows</w:t>
      </w:r>
    </w:p>
    <w:p>
      <w:pPr>
        <w:jc w:val="center"/>
        <w:rPr>
          <w:rFonts w:hint="eastAsia"/>
          <w:b/>
          <w:bCs/>
          <w:sz w:val="48"/>
          <w:szCs w:val="48"/>
        </w:rPr>
      </w:pPr>
    </w:p>
    <w:p>
      <w:pPr>
        <w:jc w:val="center"/>
        <w:rPr>
          <w:rFonts w:hint="eastAsia" w:ascii="华文琥珀" w:hAnsi="华文琥珀" w:eastAsia="华文琥珀" w:cs="华文琥珀"/>
          <w:b/>
          <w:bCs/>
          <w:color w:val="ED7D31" w:themeColor="accent2"/>
          <w:sz w:val="72"/>
          <w:szCs w:val="72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ED7D31" w:themeColor="accent2"/>
          <w:sz w:val="72"/>
          <w:szCs w:val="72"/>
          <w14:textFill>
            <w14:solidFill>
              <w14:schemeClr w14:val="accent2"/>
            </w14:solidFill>
          </w14:textFill>
        </w:rPr>
        <w:t>使用说明书</w:t>
      </w:r>
    </w:p>
    <w:p>
      <w:pPr>
        <w:ind w:left="2163" w:leftChars="704" w:right="1357" w:rightChars="646" w:hanging="685" w:hangingChars="155"/>
        <w:rPr>
          <w:rFonts w:hint="eastAsia" w:ascii="仿宋" w:hAnsi="仿宋" w:eastAsia="仿宋" w:cs="仿宋"/>
          <w:b/>
          <w:bCs/>
          <w:color w:val="ED7D31" w:themeColor="accent2"/>
          <w:sz w:val="44"/>
          <w:szCs w:val="44"/>
          <w:lang w:val="en-US" w:eastAsia="zh-CN"/>
          <w14:textFill>
            <w14:solidFill>
              <w14:schemeClr w14:val="accent2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ind w:left="1480" w:leftChars="200" w:right="1357" w:rightChars="646" w:hanging="1060" w:hangingChars="264"/>
        <w:rPr>
          <w:rFonts w:hint="default"/>
          <w:b/>
          <w:bCs/>
          <w:color w:val="4472C4" w:themeColor="accent5"/>
          <w:sz w:val="40"/>
          <w:szCs w:val="40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/>
          <w:b/>
          <w:bCs/>
          <w:color w:val="4472C4" w:themeColor="accent5"/>
          <w:sz w:val="40"/>
          <w:szCs w:val="40"/>
          <w:lang w:val="en-US" w:eastAsia="zh-CN"/>
          <w14:textFill>
            <w14:solidFill>
              <w14:schemeClr w14:val="accent5"/>
            </w14:solidFill>
          </w14:textFill>
        </w:rPr>
        <w:t>SMIA下载地址（可执行程序大小2~3M，自动在线更新）</w:t>
      </w:r>
    </w:p>
    <w:p>
      <w:pPr>
        <w:ind w:left="1480" w:leftChars="200" w:right="1357" w:rightChars="646" w:hanging="1060" w:hangingChars="264"/>
        <w:rPr>
          <w:rFonts w:hint="eastAsia"/>
          <w:b/>
          <w:bCs/>
          <w:color w:val="4472C4" w:themeColor="accent5"/>
          <w:sz w:val="40"/>
          <w:szCs w:val="40"/>
          <w:lang w:eastAsia="zh-CN"/>
          <w14:textFill>
            <w14:solidFill>
              <w14:schemeClr w14:val="accent5"/>
            </w14:solidFill>
          </w14:textFill>
        </w:rPr>
      </w:pPr>
      <w:r>
        <w:rPr>
          <w:rFonts w:hint="eastAsia"/>
          <w:b/>
          <w:bCs/>
          <w:color w:val="4472C4" w:themeColor="accent5"/>
          <w:sz w:val="40"/>
          <w:szCs w:val="40"/>
          <w:lang w:eastAsia="zh-CN"/>
          <w14:textFill>
            <w14:solidFill>
              <w14:schemeClr w14:val="accent5"/>
            </w14:solidFill>
          </w14:textFill>
        </w:rPr>
        <w:t xml:space="preserve">https://pan.baidu.com/s/10UeuAUaxgH5JshrdDHkNJQ 提取码：xsol </w:t>
      </w:r>
    </w:p>
    <w:p>
      <w:pPr>
        <w:ind w:left="1480" w:leftChars="200" w:right="1357" w:rightChars="646" w:hanging="1060" w:hangingChars="264"/>
        <w:rPr>
          <w:rFonts w:hint="eastAsia"/>
          <w:b/>
          <w:bCs/>
          <w:color w:val="4472C4" w:themeColor="accent5"/>
          <w:sz w:val="40"/>
          <w:szCs w:val="40"/>
          <w:lang w:eastAsia="zh-CN"/>
          <w14:textFill>
            <w14:solidFill>
              <w14:schemeClr w14:val="accent5"/>
            </w14:solidFill>
          </w14:textFill>
        </w:rPr>
      </w:pPr>
    </w:p>
    <w:tbl>
      <w:tblPr>
        <w:tblStyle w:val="9"/>
        <w:tblW w:w="0" w:type="auto"/>
        <w:tblInd w:w="47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98" w:type="dxa"/>
          <w:bottom w:w="0" w:type="dxa"/>
          <w:right w:w="0" w:type="dxa"/>
        </w:tblCellMar>
      </w:tblPr>
      <w:tblGrid>
        <w:gridCol w:w="867"/>
        <w:gridCol w:w="5260"/>
        <w:gridCol w:w="7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98" w:type="dxa"/>
            <w:bottom w:w="0" w:type="dxa"/>
            <w:right w:w="0" w:type="dxa"/>
          </w:tblCellMar>
        </w:tblPrEx>
        <w:tc>
          <w:tcPr>
            <w:tcW w:w="612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97" w:rightChars="46" w:firstLine="640" w:firstLineChars="145"/>
              <w:jc w:val="center"/>
              <w:textAlignment w:val="bottom"/>
              <w:rPr>
                <w:rFonts w:hint="eastAsia"/>
                <w:b/>
                <w:bCs/>
                <w:color w:val="FF0000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44"/>
                <w:szCs w:val="44"/>
                <w:lang w:eastAsia="zh-CN"/>
              </w:rPr>
              <w:drawing>
                <wp:inline distT="0" distB="0" distL="114300" distR="114300">
                  <wp:extent cx="1922780" cy="1922780"/>
                  <wp:effectExtent l="0" t="0" r="1270" b="1270"/>
                  <wp:docPr id="47" name="图片 47" descr="EC3455263B0475D91C6E4D3A5B2628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EC3455263B0475D91C6E4D3A5B2628C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color w:val="4472C4" w:themeColor="accent5"/>
                <w:sz w:val="40"/>
                <w:szCs w:val="40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下载二维码</w:t>
            </w:r>
          </w:p>
        </w:tc>
        <w:tc>
          <w:tcPr>
            <w:tcW w:w="72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97" w:rightChars="46"/>
              <w:jc w:val="center"/>
              <w:textAlignment w:val="bottom"/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44"/>
                <w:szCs w:val="52"/>
                <w:lang w:val="en-US" w:eastAsia="zh-CN"/>
              </w:rPr>
              <w:t>WINDOWS系统适用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97" w:rightChars="46"/>
              <w:jc w:val="center"/>
              <w:textAlignment w:val="bottom"/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  <w:t>若操作系统缺少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97" w:rightChars="46"/>
              <w:jc w:val="center"/>
              <w:textAlignment w:val="bottom"/>
              <w:rPr>
                <w:rFonts w:hint="default"/>
                <w:b/>
                <w:bCs/>
                <w:color w:val="FF0000"/>
                <w:sz w:val="44"/>
                <w:szCs w:val="44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  <w:t>.NET FRAMEWORK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97" w:rightChars="46"/>
              <w:jc w:val="center"/>
              <w:textAlignment w:val="bottom"/>
              <w:rPr>
                <w:rFonts w:hint="eastAsia"/>
                <w:b/>
                <w:bCs/>
                <w:color w:val="FF0000"/>
                <w:sz w:val="44"/>
                <w:szCs w:val="4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  <w:t>需自行下载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98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6127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right="97" w:rightChars="46" w:firstLine="337" w:firstLineChars="336"/>
              <w:jc w:val="center"/>
              <w:textAlignment w:val="bottom"/>
              <w:rPr>
                <w:rFonts w:hint="eastAsia"/>
                <w:b/>
                <w:bCs/>
                <w:color w:val="FF0000"/>
                <w:sz w:val="10"/>
                <w:szCs w:val="10"/>
                <w:lang w:eastAsia="zh-CN"/>
              </w:rPr>
            </w:pPr>
          </w:p>
        </w:tc>
        <w:tc>
          <w:tcPr>
            <w:tcW w:w="72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97" w:rightChars="46"/>
              <w:jc w:val="center"/>
              <w:textAlignment w:val="bottom"/>
              <w:rPr>
                <w:rFonts w:hint="eastAsia"/>
                <w:b/>
                <w:bCs/>
                <w:color w:val="FF0000"/>
                <w:sz w:val="10"/>
                <w:szCs w:val="1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98" w:type="dxa"/>
            <w:bottom w:w="0" w:type="dxa"/>
            <w:right w:w="0" w:type="dxa"/>
          </w:tblCellMar>
        </w:tblPrEx>
        <w:tc>
          <w:tcPr>
            <w:tcW w:w="867" w:type="dxa"/>
            <w:vAlign w:val="center"/>
          </w:tcPr>
          <w:p>
            <w:pPr>
              <w:ind w:right="1046" w:rightChars="498"/>
              <w:jc w:val="center"/>
              <w:rPr>
                <w:rFonts w:hint="default"/>
                <w:b/>
                <w:bCs/>
                <w:color w:val="0000FF"/>
                <w:sz w:val="44"/>
                <w:szCs w:val="5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44"/>
                <w:szCs w:val="52"/>
                <w:vertAlign w:val="baseline"/>
                <w:lang w:val="en-US" w:eastAsia="zh-CN"/>
              </w:rPr>
              <w:t>重要提醒</w:t>
            </w:r>
          </w:p>
        </w:tc>
        <w:tc>
          <w:tcPr>
            <w:tcW w:w="12494" w:type="dxa"/>
            <w:gridSpan w:val="2"/>
            <w:vAlign w:val="center"/>
          </w:tcPr>
          <w:p>
            <w:pPr>
              <w:ind w:right="97" w:rightChars="46"/>
              <w:jc w:val="center"/>
              <w:rPr>
                <w:rFonts w:hint="eastAsia"/>
                <w:b/>
                <w:bCs/>
                <w:color w:val="0000FF"/>
                <w:sz w:val="44"/>
                <w:szCs w:val="52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sz w:val="44"/>
                <w:szCs w:val="52"/>
                <w:lang w:val="en-US" w:eastAsia="zh-CN"/>
              </w:rPr>
              <w:t>软件为非安装模式发布，使用时</w:t>
            </w:r>
            <w:r>
              <w:rPr>
                <w:rFonts w:hint="eastAsia"/>
                <w:b/>
                <w:bCs/>
                <w:color w:val="FF0000"/>
                <w:sz w:val="44"/>
                <w:szCs w:val="52"/>
                <w:lang w:val="en-US" w:eastAsia="zh-CN"/>
              </w:rPr>
              <w:t>务必保证</w:t>
            </w:r>
            <w:r>
              <w:rPr>
                <w:rFonts w:hint="eastAsia"/>
                <w:b/>
                <w:bCs/>
                <w:color w:val="0000FF"/>
                <w:sz w:val="44"/>
                <w:szCs w:val="52"/>
                <w:lang w:val="en-US" w:eastAsia="zh-CN"/>
              </w:rPr>
              <w:t>资源文件（原始压缩包内DLL文件）和应用程序，皆在同一文件夹内</w:t>
            </w:r>
          </w:p>
          <w:p>
            <w:pPr>
              <w:ind w:right="97" w:rightChars="46"/>
              <w:jc w:val="center"/>
              <w:rPr>
                <w:rFonts w:hint="default"/>
                <w:b/>
                <w:bCs/>
                <w:color w:val="0000FF"/>
                <w:sz w:val="44"/>
                <w:szCs w:val="52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44"/>
                <w:szCs w:val="44"/>
                <w:lang w:val="en-US" w:eastAsia="zh-CN"/>
              </w:rPr>
              <w:t>使用异常可见</w:t>
            </w:r>
            <w:r>
              <w:rPr>
                <w:rFonts w:hint="eastAsia"/>
                <w:b/>
                <w:bCs/>
                <w:color w:val="0000FF"/>
                <w:sz w:val="44"/>
                <w:szCs w:val="52"/>
                <w:lang w:val="en-US" w:eastAsia="zh-CN"/>
              </w:rPr>
              <w:t>：SMIA不能正常使用时请阅读.TXT</w:t>
            </w:r>
          </w:p>
        </w:tc>
      </w:tr>
    </w:tbl>
    <w:p>
      <w:pPr>
        <w:ind w:left="2520" w:leftChars="1200" w:right="97" w:rightChars="46" w:firstLine="0" w:firstLineChars="0"/>
        <w:rPr>
          <w:rFonts w:hint="eastAsia"/>
          <w:b/>
          <w:bCs/>
          <w:color w:val="0000FF"/>
          <w:sz w:val="44"/>
          <w:szCs w:val="52"/>
          <w:lang w:val="en-US" w:eastAsia="zh-CN"/>
        </w:rPr>
      </w:pPr>
    </w:p>
    <w:p>
      <w:pPr>
        <w:ind w:left="2520" w:leftChars="1200" w:right="97" w:rightChars="46" w:firstLine="0" w:firstLineChars="0"/>
        <w:rPr>
          <w:rFonts w:hint="eastAsia"/>
          <w:b/>
          <w:bCs/>
          <w:color w:val="0000FF"/>
          <w:sz w:val="44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840" w:leftChars="400" w:right="937" w:rightChars="446" w:firstLine="773" w:firstLineChars="175"/>
        <w:textAlignment w:val="auto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系统基本约定、符号、分析方法等，统一于现行教学体系，</w:t>
      </w:r>
      <w:r>
        <w:rPr>
          <w:rFonts w:hint="eastAsia"/>
          <w:b/>
          <w:bCs/>
          <w:sz w:val="44"/>
          <w:szCs w:val="52"/>
          <w:lang w:val="en-US" w:eastAsia="zh-CN"/>
        </w:rPr>
        <w:t>相关教学内容，</w:t>
      </w:r>
      <w:r>
        <w:rPr>
          <w:rFonts w:hint="eastAsia"/>
          <w:b/>
          <w:bCs/>
          <w:sz w:val="44"/>
          <w:szCs w:val="52"/>
          <w:lang w:eastAsia="zh-CN"/>
        </w:rPr>
        <w:t>可参阅国内高校编撰任一《结构力学》课程教材。</w:t>
      </w:r>
    </w:p>
    <w:p>
      <w:pPr>
        <w:ind w:left="840" w:leftChars="400" w:firstLine="773" w:firstLineChars="175"/>
        <w:rPr>
          <w:rFonts w:cs="Times New Roman"/>
          <w:b/>
          <w:bCs/>
          <w:sz w:val="44"/>
          <w:szCs w:val="52"/>
        </w:rPr>
      </w:pPr>
    </w:p>
    <w:p>
      <w:pPr>
        <w:ind w:left="840" w:leftChars="400" w:right="937" w:rightChars="446" w:firstLine="773" w:firstLineChars="175"/>
        <w:rPr>
          <w:rFonts w:hint="eastAsia" w:eastAsiaTheme="minor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</w:rPr>
        <w:t>本说明书</w:t>
      </w:r>
      <w:r>
        <w:rPr>
          <w:rFonts w:hint="eastAsia"/>
          <w:b/>
          <w:bCs/>
          <w:sz w:val="44"/>
          <w:szCs w:val="52"/>
          <w:lang w:eastAsia="zh-CN"/>
        </w:rPr>
        <w:t>仅介绍</w:t>
      </w:r>
      <w:r>
        <w:rPr>
          <w:rFonts w:hint="eastAsia"/>
          <w:b/>
          <w:bCs/>
          <w:sz w:val="44"/>
          <w:szCs w:val="52"/>
        </w:rPr>
        <w:t>“</w:t>
      </w:r>
      <w:r>
        <w:rPr>
          <w:rFonts w:hint="eastAsia"/>
          <w:b/>
          <w:bCs/>
          <w:color w:val="0000FF"/>
          <w:sz w:val="44"/>
          <w:szCs w:val="52"/>
        </w:rPr>
        <w:t>结构力学智能交互平台 SMIA”</w:t>
      </w:r>
      <w:r>
        <w:rPr>
          <w:rFonts w:hint="eastAsia"/>
          <w:b/>
          <w:bCs/>
          <w:sz w:val="44"/>
          <w:szCs w:val="52"/>
        </w:rPr>
        <w:t>的基本功能和操作方法，有关结构分析的基本理论、力学模型等，</w:t>
      </w:r>
      <w:r>
        <w:rPr>
          <w:rFonts w:hint="eastAsia"/>
          <w:b/>
          <w:bCs/>
          <w:sz w:val="44"/>
          <w:szCs w:val="52"/>
          <w:lang w:val="en-US" w:eastAsia="zh-CN"/>
        </w:rPr>
        <w:t>请</w:t>
      </w:r>
      <w:r>
        <w:rPr>
          <w:rFonts w:hint="eastAsia"/>
          <w:b/>
          <w:bCs/>
          <w:sz w:val="44"/>
          <w:szCs w:val="52"/>
        </w:rPr>
        <w:t>参</w:t>
      </w:r>
      <w:r>
        <w:rPr>
          <w:rFonts w:hint="eastAsia"/>
          <w:b/>
          <w:bCs/>
          <w:sz w:val="44"/>
          <w:szCs w:val="52"/>
          <w:lang w:eastAsia="zh-CN"/>
        </w:rPr>
        <w:t>阅：</w:t>
      </w:r>
    </w:p>
    <w:p>
      <w:pPr>
        <w:ind w:left="840" w:leftChars="400" w:right="937" w:rightChars="446" w:firstLine="843" w:firstLineChars="175"/>
        <w:rPr>
          <w:rFonts w:hint="eastAsia"/>
          <w:b/>
          <w:bCs/>
          <w:sz w:val="48"/>
          <w:szCs w:val="56"/>
          <w:lang w:eastAsia="zh-CN"/>
        </w:rPr>
      </w:pPr>
    </w:p>
    <w:p>
      <w:pPr>
        <w:numPr>
          <w:ilvl w:val="0"/>
          <w:numId w:val="1"/>
        </w:numPr>
        <w:ind w:left="5459" w:leftChars="2206" w:right="1556" w:rightChars="741" w:hanging="826" w:firstLineChars="0"/>
        <w:rPr>
          <w:b/>
          <w:bCs/>
          <w:sz w:val="48"/>
          <w:szCs w:val="56"/>
        </w:rPr>
      </w:pPr>
      <w:r>
        <w:rPr>
          <w:rFonts w:cs="Times New Roman"/>
          <w:b/>
          <w:bCs/>
          <w:sz w:val="44"/>
          <w:szCs w:val="52"/>
        </w:rPr>
        <w:t xml:space="preserve">陈名弟. 刘毅. </w:t>
      </w:r>
      <w:r>
        <w:rPr>
          <w:rFonts w:cs="Times New Roman"/>
          <w:b/>
          <w:bCs/>
          <w:color w:val="0000FF"/>
          <w:sz w:val="44"/>
          <w:szCs w:val="52"/>
        </w:rPr>
        <w:t>杆系结构有限元</w:t>
      </w:r>
      <w:r>
        <w:rPr>
          <w:rFonts w:cs="Times New Roman"/>
          <w:b/>
          <w:bCs/>
          <w:sz w:val="44"/>
          <w:szCs w:val="52"/>
        </w:rPr>
        <w:t>. [M].</w:t>
      </w:r>
      <w:r>
        <w:rPr>
          <w:rFonts w:hint="eastAsia" w:cs="Times New Roman"/>
          <w:b/>
          <w:bCs/>
          <w:sz w:val="44"/>
          <w:szCs w:val="52"/>
        </w:rPr>
        <w:t xml:space="preserve"> </w:t>
      </w:r>
      <w:r>
        <w:rPr>
          <w:rFonts w:cs="Times New Roman"/>
          <w:b/>
          <w:bCs/>
          <w:sz w:val="44"/>
          <w:szCs w:val="52"/>
        </w:rPr>
        <w:t>重庆.</w:t>
      </w:r>
      <w:r>
        <w:rPr>
          <w:rFonts w:hint="eastAsia" w:cs="Times New Roman"/>
          <w:b/>
          <w:bCs/>
          <w:sz w:val="44"/>
          <w:szCs w:val="52"/>
        </w:rPr>
        <w:t xml:space="preserve"> </w:t>
      </w:r>
      <w:r>
        <w:rPr>
          <w:rFonts w:cs="Times New Roman"/>
          <w:b/>
          <w:bCs/>
          <w:sz w:val="44"/>
          <w:szCs w:val="52"/>
        </w:rPr>
        <w:t>重庆大学出版社. 202</w:t>
      </w:r>
      <w:r>
        <w:rPr>
          <w:rFonts w:hint="eastAsia" w:cs="Times New Roman"/>
          <w:b/>
          <w:bCs/>
          <w:sz w:val="44"/>
          <w:szCs w:val="52"/>
          <w:lang w:val="en-US" w:eastAsia="zh-CN"/>
        </w:rPr>
        <w:t>1</w:t>
      </w:r>
      <w:r>
        <w:rPr>
          <w:rFonts w:hint="eastAsia" w:cs="Times New Roman"/>
          <w:b/>
          <w:bCs/>
          <w:sz w:val="44"/>
          <w:szCs w:val="52"/>
          <w:lang w:eastAsia="zh-CN"/>
        </w:rPr>
        <w:t>年</w:t>
      </w:r>
      <w:r>
        <w:rPr>
          <w:rFonts w:hint="eastAsia" w:cs="Times New Roman"/>
          <w:b/>
          <w:bCs/>
          <w:sz w:val="44"/>
          <w:szCs w:val="52"/>
          <w:lang w:val="en-US" w:eastAsia="zh-CN"/>
        </w:rPr>
        <w:t>8月.</w:t>
      </w:r>
    </w:p>
    <w:p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br w:type="page"/>
      </w:r>
    </w:p>
    <w:p>
      <w:pPr>
        <w:ind w:firstLine="2327" w:firstLineChars="414"/>
        <w:jc w:val="left"/>
        <w:rPr>
          <w:rFonts w:hint="eastAsia" w:eastAsiaTheme="minorEastAsia"/>
          <w:b/>
          <w:bCs/>
          <w:sz w:val="56"/>
          <w:szCs w:val="96"/>
          <w:lang w:eastAsia="zh-CN"/>
        </w:rPr>
      </w:pPr>
      <w:r>
        <w:rPr>
          <w:rFonts w:hint="eastAsia"/>
          <w:b/>
          <w:bCs/>
          <w:sz w:val="56"/>
          <w:szCs w:val="96"/>
          <w:lang w:eastAsia="zh-CN"/>
        </w:rPr>
        <w:t>目</w:t>
      </w:r>
      <w:r>
        <w:rPr>
          <w:rFonts w:hint="eastAsia"/>
          <w:b/>
          <w:bCs/>
          <w:sz w:val="56"/>
          <w:szCs w:val="96"/>
          <w:lang w:val="en-US" w:eastAsia="zh-CN"/>
        </w:rPr>
        <w:t xml:space="preserve"> </w:t>
      </w:r>
      <w:r>
        <w:rPr>
          <w:rFonts w:hint="eastAsia"/>
          <w:b/>
          <w:bCs/>
          <w:sz w:val="56"/>
          <w:szCs w:val="96"/>
          <w:lang w:eastAsia="zh-CN"/>
        </w:rPr>
        <w:t>录</w:t>
      </w:r>
    </w:p>
    <w:p>
      <w:pPr>
        <w:ind w:left="0" w:leftChars="0" w:firstLine="2747" w:firstLineChars="570"/>
        <w:jc w:val="left"/>
        <w:rPr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总则</w:t>
      </w:r>
    </w:p>
    <w:p>
      <w:pPr>
        <w:ind w:left="0" w:leftChars="0" w:firstLine="1197" w:firstLineChars="570"/>
        <w:jc w:val="center"/>
        <w:rPr>
          <w:b/>
          <w:bCs/>
          <w:sz w:val="52"/>
          <w:szCs w:val="72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-3265170</wp:posOffset>
            </wp:positionH>
            <wp:positionV relativeFrom="paragraph">
              <wp:posOffset>80010</wp:posOffset>
            </wp:positionV>
            <wp:extent cx="3907790" cy="3877310"/>
            <wp:effectExtent l="0" t="0" r="8890" b="16510"/>
            <wp:wrapNone/>
            <wp:docPr id="1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779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2106" w:firstLineChars="437"/>
        <w:jc w:val="left"/>
        <w:rPr>
          <w:rFonts w:hint="eastAsia"/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功能模块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ascii="楷体" w:hAnsi="楷体" w:eastAsia="楷体" w:cs="楷体"/>
          <w:b/>
          <w:bCs/>
          <w:sz w:val="48"/>
          <w:szCs w:val="56"/>
        </w:rPr>
      </w:pPr>
      <w:r>
        <w:rPr>
          <w:rFonts w:hint="eastAsia" w:ascii="楷体" w:hAnsi="楷体" w:eastAsia="楷体" w:cs="楷体"/>
          <w:b/>
          <w:bCs/>
          <w:sz w:val="48"/>
          <w:szCs w:val="56"/>
        </w:rPr>
        <w:t>模型生成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ascii="楷体" w:hAnsi="楷体" w:eastAsia="楷体" w:cs="楷体"/>
          <w:b/>
          <w:bCs/>
          <w:sz w:val="48"/>
          <w:szCs w:val="56"/>
        </w:rPr>
      </w:pPr>
      <w:r>
        <w:rPr>
          <w:rFonts w:hint="eastAsia" w:ascii="楷体" w:hAnsi="楷体" w:eastAsia="楷体" w:cs="楷体"/>
          <w:b/>
          <w:bCs/>
          <w:sz w:val="48"/>
          <w:szCs w:val="56"/>
          <w:lang w:val="en-US" w:eastAsia="zh-CN"/>
        </w:rPr>
        <w:t>分析</w:t>
      </w:r>
      <w:r>
        <w:rPr>
          <w:rFonts w:hint="eastAsia" w:ascii="楷体" w:hAnsi="楷体" w:eastAsia="楷体" w:cs="楷体"/>
          <w:b/>
          <w:bCs/>
          <w:sz w:val="48"/>
          <w:szCs w:val="56"/>
        </w:rPr>
        <w:t>显示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ascii="楷体" w:hAnsi="楷体" w:eastAsia="楷体" w:cs="楷体"/>
          <w:b/>
          <w:bCs/>
          <w:sz w:val="48"/>
          <w:szCs w:val="56"/>
        </w:rPr>
      </w:pPr>
      <w:r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  <w:t>分析</w:t>
      </w:r>
      <w:r>
        <w:rPr>
          <w:rFonts w:hint="eastAsia" w:ascii="楷体" w:hAnsi="楷体" w:eastAsia="楷体" w:cs="楷体"/>
          <w:b/>
          <w:bCs/>
          <w:sz w:val="48"/>
          <w:szCs w:val="56"/>
        </w:rPr>
        <w:t>演示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</w:pPr>
      <w:r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  <w:t>交互作业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</w:pPr>
      <w:r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  <w:t>智能题库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 w:line="240" w:lineRule="auto"/>
        <w:ind w:left="420" w:leftChars="200" w:firstLine="2949" w:firstLineChars="612"/>
        <w:textAlignment w:val="auto"/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</w:pPr>
      <w:r>
        <w:rPr>
          <w:rFonts w:hint="eastAsia" w:ascii="楷体" w:hAnsi="楷体" w:eastAsia="楷体" w:cs="楷体"/>
          <w:b/>
          <w:bCs/>
          <w:sz w:val="48"/>
          <w:szCs w:val="56"/>
          <w:lang w:val="en-US" w:eastAsia="zh-CN"/>
        </w:rPr>
        <w:t>教学管理</w:t>
      </w:r>
    </w:p>
    <w:p>
      <w:pPr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  <w:sectPr>
          <w:headerReference r:id="rId3" w:type="default"/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楷体" w:hAnsi="楷体" w:eastAsia="楷体" w:cs="楷体"/>
          <w:b/>
          <w:bCs/>
          <w:sz w:val="48"/>
          <w:szCs w:val="56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420" w:leftChars="200"/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总</w:t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40"/>
        </w:rPr>
        <w:t>则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t>适用范围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适用于杆系结构分析、演示及其它教学辅助。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t>模型显示</w:t>
      </w:r>
      <w:r>
        <w:rPr>
          <w:rFonts w:hint="eastAsia"/>
          <w:b/>
          <w:bCs/>
          <w:sz w:val="24"/>
          <w:szCs w:val="36"/>
          <w:lang w:eastAsia="zh-CN"/>
        </w:rPr>
        <w:t>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369" w:firstLineChars="175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1、单元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以粗线表示杆件。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369" w:firstLineChars="175"/>
        <w:jc w:val="left"/>
        <w:rPr>
          <w:rFonts w:hint="eastAsia" w:eastAsiaTheme="minor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t>2、结点</w:t>
      </w:r>
      <w:r>
        <w:rPr>
          <w:rFonts w:hint="eastAsia"/>
          <w:b/>
          <w:bCs/>
          <w:sz w:val="21"/>
          <w:szCs w:val="21"/>
          <w:lang w:eastAsia="zh-CN"/>
        </w:rPr>
        <w:t>（</w:t>
      </w:r>
      <w:r>
        <w:rPr>
          <w:rFonts w:hint="eastAsia"/>
          <w:b/>
          <w:bCs/>
          <w:sz w:val="21"/>
          <w:szCs w:val="21"/>
          <w:lang w:val="en-US" w:eastAsia="zh-CN"/>
        </w:rPr>
        <w:t>如图1所示</w:t>
      </w:r>
      <w:r>
        <w:rPr>
          <w:rFonts w:hint="eastAsia"/>
          <w:b/>
          <w:bCs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结点用以表达各杆端间相互运动关系。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刚结点</w:t>
      </w:r>
      <w:r>
        <w:rPr>
          <w:rFonts w:hint="eastAsia"/>
          <w:b/>
          <w:bCs/>
          <w:sz w:val="21"/>
          <w:szCs w:val="21"/>
          <w:lang w:val="en-US" w:eastAsia="zh-CN"/>
        </w:rPr>
        <w:t>：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结点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C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、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D</w:t>
      </w:r>
      <w:r>
        <w:rPr>
          <w:rFonts w:hint="eastAsia"/>
          <w:b/>
          <w:bCs/>
          <w:sz w:val="21"/>
          <w:szCs w:val="21"/>
          <w:lang w:val="en-US" w:eastAsia="zh-CN"/>
        </w:rPr>
        <w:t>，杆端直接连接，约束杆端平面内相对运动；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铰结点</w:t>
      </w:r>
      <w:r>
        <w:rPr>
          <w:rFonts w:hint="eastAsia"/>
          <w:b/>
          <w:bCs/>
          <w:sz w:val="21"/>
          <w:szCs w:val="21"/>
          <w:lang w:val="en-US" w:eastAsia="zh-CN"/>
        </w:rPr>
        <w:t>：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结点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G</w:t>
      </w:r>
      <w:r>
        <w:rPr>
          <w:rFonts w:hint="eastAsia"/>
          <w:b/>
          <w:bCs/>
          <w:sz w:val="21"/>
          <w:szCs w:val="21"/>
          <w:lang w:val="en-US" w:eastAsia="zh-CN"/>
        </w:rPr>
        <w:t>，空心圆圈表示，约束杆端相对平动；（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H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为半铰</w:t>
      </w:r>
      <w:r>
        <w:rPr>
          <w:rFonts w:hint="eastAsia"/>
          <w:b/>
          <w:bCs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定向结点</w:t>
      </w:r>
      <w:r>
        <w:rPr>
          <w:rFonts w:hint="eastAsia"/>
          <w:b/>
          <w:bCs/>
          <w:sz w:val="21"/>
          <w:szCs w:val="21"/>
          <w:lang w:val="en-US" w:eastAsia="zh-CN"/>
        </w:rPr>
        <w:t>：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结点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B</w:t>
      </w:r>
      <w:r>
        <w:rPr>
          <w:rFonts w:hint="eastAsia"/>
          <w:b/>
          <w:bCs/>
          <w:sz w:val="21"/>
          <w:szCs w:val="21"/>
          <w:lang w:val="en-US" w:eastAsia="zh-CN"/>
        </w:rPr>
        <w:t>，以正交于整体坐标系统的两平行短链杆表示，约束相对转动和沿链杆方向的平动。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0" w:firstLineChars="0"/>
        <w:jc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3886835" cy="1059180"/>
            <wp:effectExtent l="0" t="0" r="18415" b="7620"/>
            <wp:docPr id="157" name="图片 15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6"/>
                    <pic:cNvPicPr>
                      <a:picLocks noChangeAspect="1"/>
                    </pic:cNvPicPr>
                  </pic:nvPicPr>
                  <pic:blipFill>
                    <a:blip r:embed="rId41"/>
                    <a:srcRect l="1871" t="6244" r="8482" b="17874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图1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结点</w:t>
      </w:r>
      <w:r>
        <w:rPr>
          <w:rFonts w:hint="eastAsia"/>
          <w:sz w:val="21"/>
          <w:szCs w:val="21"/>
        </w:rPr>
        <w:t>类型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单向约束结点</w:t>
      </w:r>
      <w:r>
        <w:rPr>
          <w:rFonts w:hint="eastAsia"/>
          <w:b/>
          <w:bCs/>
          <w:sz w:val="21"/>
          <w:szCs w:val="21"/>
          <w:lang w:val="en-US" w:eastAsia="zh-CN"/>
        </w:rPr>
        <w:t>：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结点</w:t>
      </w:r>
      <w:r>
        <w:rPr>
          <w:rFonts w:hint="eastAsia"/>
          <w:b/>
          <w:bCs/>
          <w:i/>
          <w:iCs/>
          <w:color w:val="FF0000"/>
          <w:sz w:val="21"/>
          <w:szCs w:val="21"/>
          <w:lang w:val="en-US" w:eastAsia="zh-CN"/>
        </w:rPr>
        <w:t>F</w:t>
      </w:r>
      <w:r>
        <w:rPr>
          <w:rFonts w:hint="eastAsia"/>
          <w:b/>
          <w:bCs/>
          <w:sz w:val="21"/>
          <w:szCs w:val="21"/>
          <w:lang w:val="en-US" w:eastAsia="zh-CN"/>
        </w:rPr>
        <w:t>，以短链杆表示，提供沿整体坐标下链杆方向平动约束。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【说明】</w:t>
      </w:r>
      <w:r>
        <w:rPr>
          <w:rFonts w:hint="eastAsia"/>
          <w:b/>
          <w:bCs/>
          <w:sz w:val="21"/>
          <w:szCs w:val="21"/>
          <w:lang w:val="en-US" w:eastAsia="zh-CN"/>
        </w:rPr>
        <w:t>结点没有大小。但除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全刚结</w:t>
      </w:r>
      <w:r>
        <w:rPr>
          <w:rFonts w:hint="eastAsia"/>
          <w:b/>
          <w:bCs/>
          <w:sz w:val="21"/>
          <w:szCs w:val="21"/>
          <w:lang w:val="en-US" w:eastAsia="zh-CN"/>
        </w:rPr>
        <w:t>外的其它特殊结点，计算简图显示需要占用图素表现，特殊结点处，显示会出现偏移。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369" w:firstLineChars="175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3、支座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支座包括图2所示几类。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drawing>
          <wp:inline distT="0" distB="0" distL="114300" distR="114300">
            <wp:extent cx="2154555" cy="2668270"/>
            <wp:effectExtent l="0" t="0" r="0" b="17780"/>
            <wp:docPr id="37" name="图片 37" descr="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21"/>
                    <pic:cNvPicPr>
                      <a:picLocks noChangeAspect="1"/>
                    </pic:cNvPicPr>
                  </pic:nvPicPr>
                  <pic:blipFill>
                    <a:blip r:embed="rId42"/>
                    <a:srcRect l="5403" r="17674" b="17787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支座类型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其中，刚臂约束（结点</w:t>
      </w:r>
      <w:r>
        <w:rPr>
          <w:rFonts w:hint="eastAsia"/>
          <w:b/>
          <w:bCs/>
          <w:i/>
          <w:iCs/>
          <w:sz w:val="21"/>
          <w:szCs w:val="21"/>
          <w:lang w:val="en-US" w:eastAsia="zh-CN"/>
        </w:rPr>
        <w:t>A</w:t>
      </w:r>
      <w:r>
        <w:rPr>
          <w:rFonts w:hint="eastAsia"/>
          <w:b/>
          <w:bCs/>
          <w:sz w:val="21"/>
          <w:szCs w:val="21"/>
          <w:lang w:val="en-US" w:eastAsia="zh-CN"/>
        </w:rPr>
        <w:t>处，约束结点转动自由度，仍允许平动），实际工程中基本不存在，主要用于力学分析过程显示。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t>坐标系约定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采用“右手规则”定义直角坐标系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1、平面坐标系如图3a约定；所标示的结点坐标值如图3b所示。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center"/>
        <w:textAlignment w:val="center"/>
        <w:rPr>
          <w:sz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626745" cy="621665"/>
            <wp:effectExtent l="0" t="0" r="1905" b="698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</w:t>
      </w:r>
      <w:r>
        <w:rPr>
          <w:sz w:val="24"/>
        </w:rPr>
        <w:drawing>
          <wp:inline distT="0" distB="0" distL="114300" distR="114300">
            <wp:extent cx="3009900" cy="1720215"/>
            <wp:effectExtent l="0" t="0" r="0" b="133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600" w:firstLineChars="300"/>
        <w:jc w:val="left"/>
        <w:rPr>
          <w:rFonts w:hint="default" w:eastAsiaTheme="minorEastAsia"/>
          <w:sz w:val="20"/>
          <w:szCs w:val="20"/>
          <w:lang w:val="en-US" w:eastAsia="zh-CN"/>
        </w:rPr>
      </w:pPr>
      <w:r>
        <w:rPr>
          <w:rFonts w:hint="eastAsia"/>
          <w:sz w:val="20"/>
          <w:szCs w:val="20"/>
          <w:lang w:val="en-US" w:eastAsia="zh-CN"/>
        </w:rPr>
        <w:t>a.坐标系统                  b.结点坐标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图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坐标</w:t>
      </w:r>
      <w:r>
        <w:rPr>
          <w:rFonts w:hint="eastAsia"/>
          <w:sz w:val="21"/>
          <w:szCs w:val="21"/>
          <w:lang w:val="en-US" w:eastAsia="zh-CN"/>
        </w:rPr>
        <w:t>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【例外】</w:t>
      </w:r>
      <w:r>
        <w:rPr>
          <w:rFonts w:hint="eastAsia"/>
          <w:b/>
          <w:bCs/>
          <w:sz w:val="21"/>
          <w:szCs w:val="21"/>
          <w:lang w:val="en-US" w:eastAsia="zh-CN"/>
        </w:rPr>
        <w:t>国内大部分结构力学教材，三铰拱拱轴函数曲线，以Y轴向上为正。为与传统教材约定相同，SMIA在拱轴函数方程描述中，Y轴特以向上为正。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color w:val="70AD47" w:themeColor="accent6"/>
          <w:sz w:val="21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各显示窗体内，均支持鼠标滚轮缩放，鼠标中键平移。某些场景下，支持CTRL、SHITF、右键、双击等操作，辅助实现其它功能。</w:t>
      </w:r>
      <w:r>
        <w:rPr>
          <w:rFonts w:hint="eastAsia"/>
          <w:b/>
          <w:bCs/>
          <w:color w:val="70AD47" w:themeColor="accent6"/>
          <w:sz w:val="21"/>
          <w:szCs w:val="21"/>
          <w:lang w:val="en-US" w:eastAsia="zh-CN"/>
          <w14:textFill>
            <w14:solidFill>
              <w14:schemeClr w14:val="accent6"/>
            </w14:solidFill>
          </w14:textFill>
        </w:rPr>
        <w:t>--本功能未完全调试完毕，在一些窗体内以上功能不完全健全。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2、空间模型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空间模型可按正立面、侧立面、顶视图和轴测图的方式显示。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483870</wp:posOffset>
                </wp:positionV>
                <wp:extent cx="1238250" cy="387350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71535" y="1868170"/>
                          <a:ext cx="123825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右手坐标系统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0pt;margin-top:38.1pt;height:30.5pt;width:97.5pt;z-index:251673600;mso-width-relative:page;mso-height-relative:page;" filled="f" stroked="f" coordsize="21600,21600" o:gfxdata="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hsZW62wAAAAoBAAAPAAAAAAAAAAEA&#10;IAAAACIAAABkcnMvZG93bnJldi54bWxQSwECFAAUAAAACACHTuJABJACiEUCAAB2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右手坐标系统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-88265</wp:posOffset>
            </wp:positionV>
            <wp:extent cx="1373505" cy="2021205"/>
            <wp:effectExtent l="0" t="0" r="17145" b="17145"/>
            <wp:wrapSquare wrapText="bothSides"/>
            <wp:docPr id="1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rcRect t="366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左上角提供对模型进行三轴旋转的滑垫。在滑垫上按下鼠标并在相同色区移动，实现模型旋转。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color w:val="70AD47" w:themeColor="accent6"/>
          <w:sz w:val="21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70AD47" w:themeColor="accent6"/>
          <w:sz w:val="21"/>
          <w:szCs w:val="21"/>
          <w:lang w:val="en-US" w:eastAsia="zh-CN"/>
          <w14:textFill>
            <w14:solidFill>
              <w14:schemeClr w14:val="accent6"/>
            </w14:solidFill>
          </w14:textFill>
        </w:rPr>
        <w:t>在绿区移动，实现模型绕其Z轴转动；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在红区移动，实现模型绕其X轴转动；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color w:val="00206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002060"/>
          <w:sz w:val="21"/>
          <w:szCs w:val="21"/>
          <w:lang w:val="en-US" w:eastAsia="zh-CN"/>
        </w:rPr>
        <w:t>在蓝区移动，实现模型绕其Y轴转动；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10160</wp:posOffset>
                </wp:positionV>
                <wp:extent cx="1257300" cy="387350"/>
                <wp:effectExtent l="0" t="0" r="0" b="0"/>
                <wp:wrapNone/>
                <wp:docPr id="163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坐标旋转滑垫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5pt;margin-top:0.8pt;height:30.5pt;width:99pt;z-index:251674624;mso-width-relative:page;mso-height-relative:page;" filled="f" stroked="f" coordsize="21600,21600" o:gfxdata="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MuBV9kAAAAIAQAADwAAAAAAAAABACAAAAAiAAAAZHJz&#10;L2Rvd25yZXYueG1sUEsBAhQAFAAAAAgAh07iQEAgzFs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坐标旋转滑垫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1"/>
          <w:szCs w:val="21"/>
          <w:lang w:val="en-US" w:eastAsia="zh-CN"/>
        </w:rPr>
        <w:t>在各色区偏左/右/上/下，鼠标单击，则可实现绕对应轴的细微旋转。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三轴关系为右手直角坐标系统定义，滑垫色区与结构整体坐标系统的定义一致。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420" w:leftChars="0"/>
        <w:jc w:val="left"/>
        <w:rPr>
          <w:rFonts w:hint="default"/>
          <w:b/>
          <w:bCs/>
          <w:color w:val="0000FF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</w:rPr>
      </w:pPr>
      <w:r>
        <w:rPr>
          <w:rFonts w:hint="eastAsia"/>
          <w:b/>
          <w:bCs/>
          <w:sz w:val="24"/>
          <w:szCs w:val="36"/>
        </w:rPr>
        <w:t>计算方法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使用有限元单元法“一维杆元”辅助分析。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线性弹性小变形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支持变截面（参数输入未上线）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支持平面与空间结构分析，教学交互（作业、测试、智能分析等）支持平面体系，空间体系仅用于分析演示。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  <w:lang w:val="en-US" w:eastAsia="zh-CN"/>
        </w:rPr>
      </w:pPr>
      <w:r>
        <w:rPr>
          <w:rFonts w:hint="eastAsia"/>
          <w:b/>
          <w:bCs/>
          <w:sz w:val="24"/>
          <w:szCs w:val="36"/>
          <w:lang w:val="en-US" w:eastAsia="zh-CN"/>
        </w:rPr>
        <w:t>适用对象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适用于《结构力学》、《建筑力学》、《工程力学》等课程教学的教师和学生。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适用于注册师考试或研究生入学考试的复习与训练。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【特别说明】系统使用需要一定力学基础和学习引导，本系统不适合对工程力学完全无概念、且缺乏引导的自学者。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  <w:lang w:val="en-US" w:eastAsia="zh-CN"/>
        </w:rPr>
      </w:pPr>
      <w:r>
        <w:rPr>
          <w:rFonts w:hint="eastAsia"/>
          <w:b/>
          <w:bCs/>
          <w:sz w:val="24"/>
          <w:szCs w:val="36"/>
          <w:lang w:val="en-US" w:eastAsia="zh-CN"/>
        </w:rPr>
        <w:t>数值输入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建模和交互作业时需要数值输入。在弹出文本框内，用户直接输入数值，数值形式可按需要为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整数：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###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小数：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##.#</w:t>
      </w:r>
      <w:r>
        <w:rPr>
          <w:rFonts w:hint="eastAsia"/>
          <w:b/>
          <w:bCs/>
          <w:sz w:val="21"/>
          <w:szCs w:val="21"/>
          <w:lang w:val="en-US" w:eastAsia="zh-CN"/>
        </w:rPr>
        <w:t>（接受科学型，如0.00001=1E-5）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分数：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##/##</w:t>
      </w:r>
      <w:r>
        <w:rPr>
          <w:rFonts w:hint="eastAsia"/>
          <w:b/>
          <w:bCs/>
          <w:sz w:val="21"/>
          <w:szCs w:val="21"/>
          <w:lang w:val="en-US" w:eastAsia="zh-CN"/>
        </w:rPr>
        <w:t>（分子分母可非整数）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带根号值：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##/##,##</w:t>
      </w:r>
      <w:r>
        <w:rPr>
          <w:rFonts w:hint="eastAsia"/>
          <w:b/>
          <w:bCs/>
          <w:sz w:val="21"/>
          <w:szCs w:val="21"/>
          <w:lang w:val="en-US" w:eastAsia="zh-CN"/>
        </w:rPr>
        <w:t>（根号值用于被乘，置于逗号后方；逗号前方可为一般数值或分数，如</w:t>
      </w:r>
      <w:r>
        <w:rPr>
          <w:rFonts w:hint="eastAsia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254000" cy="180340"/>
            <wp:effectExtent l="0" t="0" r="12700" b="1143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1"/>
          <w:szCs w:val="21"/>
          <w:lang w:val="en-US" w:eastAsia="zh-CN"/>
        </w:rPr>
        <w:t>输入为：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3,2</w:t>
      </w:r>
      <w:r>
        <w:rPr>
          <w:rFonts w:hint="eastAsia"/>
          <w:b/>
          <w:bCs/>
          <w:sz w:val="21"/>
          <w:szCs w:val="21"/>
          <w:lang w:val="en-US" w:eastAsia="zh-CN"/>
        </w:rPr>
        <w:t>；</w:t>
      </w:r>
      <w:r>
        <w:rPr>
          <w:rFonts w:hint="eastAsia"/>
          <w:b/>
          <w:bCs/>
          <w:sz w:val="21"/>
          <w:szCs w:val="21"/>
          <w:lang w:val="en-US" w:eastAsia="zh-CN"/>
        </w:rPr>
        <w:object>
          <v:shape id="_x0000_i1025" o:spt="75" type="#_x0000_t75" style="height:29.7pt;width:22.7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47">
            <o:LockedField>false</o:LockedField>
          </o:OLEObject>
        </w:object>
      </w:r>
      <w:r>
        <w:rPr>
          <w:rFonts w:hint="eastAsia"/>
          <w:b/>
          <w:bCs/>
          <w:sz w:val="21"/>
          <w:szCs w:val="21"/>
          <w:lang w:val="en-US" w:eastAsia="zh-CN"/>
        </w:rPr>
        <w:t>输入为：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3/5,2</w:t>
      </w:r>
      <w:r>
        <w:rPr>
          <w:rFonts w:hint="eastAsia"/>
          <w:b/>
          <w:bCs/>
          <w:sz w:val="21"/>
          <w:szCs w:val="21"/>
          <w:lang w:val="en-US" w:eastAsia="zh-CN"/>
        </w:rPr>
        <w:t>；无系数的根号，前部应输入1，如</w:t>
      </w:r>
      <w:r>
        <w:rPr>
          <w:rFonts w:hint="eastAsia"/>
          <w:b/>
          <w:bCs/>
          <w:sz w:val="21"/>
          <w:szCs w:val="21"/>
          <w:lang w:val="en-US" w:eastAsia="zh-CN"/>
        </w:rPr>
        <w:object>
          <v:shape id="_x0000_i1026" o:spt="75" type="#_x0000_t75" style="height:14.9pt;width:16.6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49">
            <o:LockedField>false</o:LockedField>
          </o:OLEObject>
        </w:object>
      </w:r>
      <w:r>
        <w:rPr>
          <w:rFonts w:hint="eastAsia"/>
          <w:b/>
          <w:bCs/>
          <w:sz w:val="21"/>
          <w:szCs w:val="21"/>
          <w:lang w:val="en-US" w:eastAsia="zh-CN"/>
        </w:rPr>
        <w:t>输入为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1,2</w:t>
      </w:r>
      <w:r>
        <w:rPr>
          <w:rFonts w:hint="eastAsia"/>
          <w:b/>
          <w:bCs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精度要求：对小数型（分数、带根号系统会自动转换为小数型）输入数据，交互作业时，系统会进行精度判断，如无特别说明，用户应保证所输入数值，具有4位有效数字（第4位四舍五入）。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316" w:leftChars="0" w:hanging="316" w:hangingChars="131"/>
        <w:jc w:val="left"/>
        <w:rPr>
          <w:rFonts w:hint="eastAsia"/>
          <w:b/>
          <w:bCs/>
          <w:sz w:val="24"/>
          <w:szCs w:val="36"/>
          <w:lang w:val="en-US" w:eastAsia="zh-CN"/>
        </w:rPr>
      </w:pPr>
      <w:r>
        <w:rPr>
          <w:rFonts w:hint="eastAsia"/>
          <w:b/>
          <w:bCs/>
          <w:sz w:val="24"/>
          <w:szCs w:val="36"/>
          <w:lang w:val="en-US" w:eastAsia="zh-CN"/>
        </w:rPr>
        <w:t>计算器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为便于学生输入某些计算结果值，系统在帮助菜单中提供计算器小工具。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240" w:lineRule="auto"/>
        <w:ind w:left="0" w:leftChars="0" w:firstLine="420" w:firstLineChars="0"/>
        <w:jc w:val="left"/>
        <w:textAlignment w:val="center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输入算式，即可见结果。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157" w:afterLines="50" w:line="240" w:lineRule="auto"/>
        <w:ind w:left="0" w:leftChars="0" w:firstLine="420" w:firstLineChars="0"/>
        <w:jc w:val="left"/>
        <w:rPr>
          <w:rFonts w:hint="default"/>
          <w:b/>
          <w:bCs/>
          <w:strike/>
          <w:dstrike w:val="0"/>
          <w:sz w:val="21"/>
          <w:szCs w:val="21"/>
          <w:lang w:val="en-US" w:eastAsia="zh-CN"/>
        </w:rPr>
        <w:sectPr>
          <w:headerReference r:id="rId5" w:type="default"/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521" w:space="1040"/>
            <w:col w:w="6397"/>
          </w:cols>
          <w:docGrid w:type="lines" w:linePitch="312" w:charSpace="0"/>
        </w:sectPr>
      </w:pPr>
      <w:r>
        <w:rPr>
          <w:rFonts w:hint="eastAsia"/>
          <w:b/>
          <w:bCs/>
          <w:sz w:val="21"/>
          <w:szCs w:val="21"/>
          <w:lang w:val="en-US" w:eastAsia="zh-CN"/>
        </w:rPr>
        <w:t>目前支持+、-、*、/、( )，对乘方、开方、常用函数的支持待后续开放。</w:t>
      </w: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eastAsia="zh-CN"/>
        </w:rPr>
      </w:pPr>
      <w:r>
        <w:rPr>
          <w:rFonts w:hint="eastAsia"/>
          <w:b/>
          <w:bCs/>
          <w:sz w:val="72"/>
          <w:szCs w:val="144"/>
          <w:lang w:val="en-US" w:eastAsia="zh-CN"/>
        </w:rPr>
        <w:t>交互建</w:t>
      </w:r>
      <w:r>
        <w:rPr>
          <w:rFonts w:hint="eastAsia"/>
          <w:b/>
          <w:bCs/>
          <w:sz w:val="72"/>
          <w:szCs w:val="144"/>
          <w:lang w:eastAsia="zh-CN"/>
        </w:rPr>
        <w:t>模</w:t>
      </w:r>
    </w:p>
    <w:p>
      <w:pPr>
        <w:numPr>
          <w:ilvl w:val="0"/>
          <w:numId w:val="0"/>
        </w:numPr>
        <w:ind w:left="3154" w:leftChars="1502" w:right="1136" w:rightChars="541" w:firstLine="0" w:firstLineChars="0"/>
        <w:jc w:val="both"/>
        <w:rPr>
          <w:rFonts w:hint="default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52"/>
          <w:szCs w:val="72"/>
        </w:rPr>
        <w:t>交互式辅助建模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  <w:t>，模型用于分析、演示和题库建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  <w:t>设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  <w:t>；用户模型仅限自己访问</w:t>
      </w:r>
    </w:p>
    <w:p>
      <w:pPr>
        <w:ind w:left="1900"/>
        <w:rPr>
          <w:b/>
          <w:bCs/>
          <w:sz w:val="36"/>
          <w:szCs w:val="44"/>
        </w:rPr>
      </w:pP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模型</w:t>
      </w:r>
      <w:r>
        <w:rPr>
          <w:rFonts w:hint="eastAsia"/>
          <w:b/>
          <w:bCs/>
          <w:sz w:val="40"/>
          <w:szCs w:val="48"/>
          <w:lang w:eastAsia="zh-CN"/>
        </w:rPr>
        <w:t>特征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交互辅助建模-梁和规则框架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模型、支座、结点修改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荷载定义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其它结构建模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模型显示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default"/>
          <w:b/>
          <w:bCs/>
          <w:sz w:val="40"/>
          <w:szCs w:val="48"/>
          <w:lang w:val="en-US" w:eastAsia="zh-CN"/>
        </w:rPr>
        <w:sectPr>
          <w:headerReference r:id="rId6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40"/>
          <w:szCs w:val="48"/>
          <w:lang w:val="en-US" w:eastAsia="zh-CN"/>
        </w:rPr>
        <w:t>空间结构</w:t>
      </w:r>
    </w:p>
    <w:p>
      <w:pPr>
        <w:numPr>
          <w:ilvl w:val="0"/>
          <w:numId w:val="7"/>
        </w:numPr>
        <w:spacing w:after="156" w:afterLines="50"/>
        <w:ind w:firstLine="0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模型</w:t>
      </w:r>
      <w:r>
        <w:rPr>
          <w:rFonts w:hint="eastAsia"/>
          <w:b/>
          <w:bCs/>
          <w:sz w:val="36"/>
          <w:lang w:eastAsia="zh-CN"/>
        </w:rPr>
        <w:t>特征</w:t>
      </w:r>
    </w:p>
    <w:p>
      <w:pPr>
        <w:jc w:val="center"/>
        <w:rPr>
          <w:b/>
          <w:bCs/>
          <w:sz w:val="24"/>
        </w:rPr>
      </w:pPr>
    </w:p>
    <w:p>
      <w:pPr>
        <w:jc w:val="center"/>
        <w:rPr>
          <w:sz w:val="24"/>
        </w:rPr>
      </w:pPr>
      <w:r>
        <w:drawing>
          <wp:inline distT="0" distB="0" distL="114300" distR="114300">
            <wp:extent cx="2249805" cy="3326130"/>
            <wp:effectExtent l="0" t="0" r="17145" b="762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 w:firstLineChars="200"/>
        <w:rPr>
          <w:rFonts w:cs="Times New Roman"/>
          <w:sz w:val="24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3</w:t>
      </w:r>
      <w:r>
        <w:rPr>
          <w:rFonts w:cs="Times New Roman"/>
          <w:sz w:val="24"/>
        </w:rPr>
        <w:t xml:space="preserve">. </w:t>
      </w:r>
      <w:r>
        <w:rPr>
          <w:rFonts w:hint="eastAsia" w:cs="Times New Roman"/>
          <w:sz w:val="24"/>
        </w:rPr>
        <w:t>新建模型功能界面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13"/>
        <w:numPr>
          <w:ilvl w:val="0"/>
          <w:numId w:val="8"/>
        </w:numPr>
        <w:spacing w:after="156" w:afterLines="50"/>
        <w:ind w:firstLineChars="0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结构类型</w:t>
      </w:r>
    </w:p>
    <w:p>
      <w:pPr>
        <w:spacing w:after="156" w:afterLines="50"/>
        <w:ind w:firstLine="422" w:firstLineChars="20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梁</w:t>
      </w:r>
      <w:r>
        <w:rPr>
          <w:rFonts w:hint="eastAsia" w:cs="Times New Roman"/>
          <w:b/>
          <w:bCs/>
          <w:color w:val="0000FF"/>
          <w:sz w:val="21"/>
          <w:szCs w:val="21"/>
          <w:lang w:eastAsia="zh-CN"/>
        </w:rPr>
        <w:t>、</w:t>
      </w:r>
      <w:r>
        <w:rPr>
          <w:rFonts w:hint="eastAsia" w:cs="Times New Roman"/>
          <w:b/>
          <w:bCs/>
          <w:color w:val="0000FF"/>
          <w:sz w:val="21"/>
          <w:szCs w:val="21"/>
        </w:rPr>
        <w:t>框架</w:t>
      </w:r>
      <w:r>
        <w:rPr>
          <w:rFonts w:cs="Times New Roman"/>
          <w:sz w:val="21"/>
          <w:szCs w:val="21"/>
        </w:rPr>
        <w:t>：</w:t>
      </w:r>
      <w:r>
        <w:rPr>
          <w:rFonts w:hint="eastAsia" w:cs="Times New Roman"/>
          <w:sz w:val="21"/>
          <w:szCs w:val="21"/>
        </w:rPr>
        <w:t>按梁式杆件计算，</w:t>
      </w:r>
      <w:r>
        <w:rPr>
          <w:rFonts w:cs="Times New Roman"/>
          <w:sz w:val="21"/>
          <w:szCs w:val="21"/>
        </w:rPr>
        <w:t>不计轴</w:t>
      </w:r>
      <w:r>
        <w:rPr>
          <w:rFonts w:hint="eastAsia" w:cs="Times New Roman"/>
          <w:sz w:val="21"/>
          <w:szCs w:val="21"/>
          <w:lang w:eastAsia="zh-CN"/>
        </w:rPr>
        <w:t>、</w:t>
      </w:r>
      <w:r>
        <w:rPr>
          <w:rFonts w:hint="eastAsia" w:cs="Times New Roman"/>
          <w:sz w:val="21"/>
          <w:szCs w:val="21"/>
          <w:lang w:val="en-US" w:eastAsia="zh-CN"/>
        </w:rPr>
        <w:t>剪</w:t>
      </w:r>
      <w:r>
        <w:rPr>
          <w:rFonts w:cs="Times New Roman"/>
          <w:sz w:val="21"/>
          <w:szCs w:val="21"/>
        </w:rPr>
        <w:t>变形；</w:t>
      </w:r>
    </w:p>
    <w:p>
      <w:pPr>
        <w:spacing w:after="156" w:afterLines="50"/>
        <w:ind w:firstLine="422" w:firstLineChars="20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平面桁架</w:t>
      </w:r>
      <w:r>
        <w:rPr>
          <w:rFonts w:cs="Times New Roman"/>
          <w:sz w:val="21"/>
          <w:szCs w:val="21"/>
        </w:rPr>
        <w:t>：默认杆件</w:t>
      </w:r>
      <w:r>
        <w:rPr>
          <w:rFonts w:hint="eastAsia" w:cs="Times New Roman"/>
          <w:sz w:val="21"/>
          <w:szCs w:val="21"/>
        </w:rPr>
        <w:t>为桁杆，不计抗弯刚度</w:t>
      </w:r>
      <w:r>
        <w:rPr>
          <w:rFonts w:cs="Times New Roman"/>
          <w:sz w:val="21"/>
          <w:szCs w:val="21"/>
        </w:rPr>
        <w:t>；</w:t>
      </w:r>
    </w:p>
    <w:p>
      <w:pPr>
        <w:spacing w:after="156" w:afterLines="50"/>
        <w:ind w:left="1480" w:leftChars="700" w:hanging="10" w:firstLineChars="0"/>
        <w:rPr>
          <w:rFonts w:hint="default" w:cs="Times New Roman" w:eastAsiaTheme="minorEastAsia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桁杆可按两种方式实现，一是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EA</w:t>
      </w:r>
      <w:r>
        <w:rPr>
          <w:rFonts w:hint="eastAsia" w:cs="Times New Roman"/>
          <w:sz w:val="21"/>
          <w:szCs w:val="21"/>
          <w:lang w:val="en-US" w:eastAsia="zh-CN"/>
        </w:rPr>
        <w:t>=C、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EI</w:t>
      </w:r>
      <w:r>
        <w:rPr>
          <w:rFonts w:hint="eastAsia" w:cs="Times New Roman"/>
          <w:sz w:val="21"/>
          <w:szCs w:val="21"/>
          <w:lang w:val="en-US" w:eastAsia="zh-CN"/>
        </w:rPr>
        <w:t>=0；一是两端铰结。同一杆件不能同时使用两种方式，否则会导致此部分可变。</w:t>
      </w:r>
    </w:p>
    <w:p>
      <w:pPr>
        <w:spacing w:after="156" w:afterLines="50"/>
        <w:ind w:firstLine="422" w:firstLineChars="200"/>
        <w:rPr>
          <w:rFonts w:hint="default" w:cs="Times New Roman" w:eastAsiaTheme="minorEastAsia"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三</w:t>
      </w:r>
      <w:r>
        <w:rPr>
          <w:rFonts w:hint="eastAsia" w:cs="Times New Roman"/>
          <w:b/>
          <w:bCs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/>
          <w:bCs/>
          <w:color w:val="0000FF"/>
          <w:sz w:val="21"/>
          <w:szCs w:val="21"/>
        </w:rPr>
        <w:t>铰</w:t>
      </w:r>
      <w:r>
        <w:rPr>
          <w:rFonts w:hint="eastAsia" w:cs="Times New Roman"/>
          <w:b/>
          <w:bCs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 w:cs="Times New Roman"/>
          <w:b/>
          <w:bCs/>
          <w:color w:val="0000FF"/>
          <w:sz w:val="21"/>
          <w:szCs w:val="21"/>
        </w:rPr>
        <w:t>拱</w:t>
      </w:r>
      <w:r>
        <w:rPr>
          <w:rFonts w:cs="Times New Roman"/>
          <w:sz w:val="21"/>
          <w:szCs w:val="21"/>
        </w:rPr>
        <w:t>：按静力平衡条件分析，</w:t>
      </w:r>
      <w:r>
        <w:rPr>
          <w:rFonts w:hint="eastAsia" w:cs="Times New Roman"/>
          <w:sz w:val="21"/>
          <w:szCs w:val="21"/>
        </w:rPr>
        <w:t>不</w:t>
      </w:r>
      <w:r>
        <w:rPr>
          <w:rFonts w:cs="Times New Roman"/>
          <w:sz w:val="21"/>
          <w:szCs w:val="21"/>
        </w:rPr>
        <w:t>考虑截面刚度特征；</w:t>
      </w:r>
      <w:r>
        <w:rPr>
          <w:rFonts w:hint="eastAsia" w:cs="Times New Roman"/>
          <w:sz w:val="21"/>
          <w:szCs w:val="21"/>
          <w:lang w:val="en-US" w:eastAsia="zh-CN"/>
        </w:rPr>
        <w:t>支持</w:t>
      </w:r>
      <w:r>
        <w:rPr>
          <w:rFonts w:hint="eastAsia" w:cs="Times New Roman"/>
          <w:color w:val="FF0000"/>
          <w:sz w:val="21"/>
          <w:szCs w:val="21"/>
          <w:lang w:val="en-US" w:eastAsia="zh-CN"/>
        </w:rPr>
        <w:t>抛物线</w:t>
      </w:r>
      <w:r>
        <w:rPr>
          <w:rFonts w:hint="eastAsia" w:cs="Times New Roman"/>
          <w:sz w:val="21"/>
          <w:szCs w:val="21"/>
          <w:lang w:val="en-US" w:eastAsia="zh-CN"/>
        </w:rPr>
        <w:t>和</w:t>
      </w:r>
      <w:r>
        <w:rPr>
          <w:rFonts w:hint="eastAsia" w:cs="Times New Roman"/>
          <w:color w:val="FF0000"/>
          <w:sz w:val="21"/>
          <w:szCs w:val="21"/>
          <w:lang w:val="en-US" w:eastAsia="zh-CN"/>
        </w:rPr>
        <w:t>圆弧</w:t>
      </w:r>
      <w:r>
        <w:rPr>
          <w:rFonts w:hint="eastAsia" w:cs="Times New Roman"/>
          <w:sz w:val="21"/>
          <w:szCs w:val="21"/>
          <w:lang w:val="en-US" w:eastAsia="zh-CN"/>
        </w:rPr>
        <w:t>两类拱轴。</w:t>
      </w:r>
    </w:p>
    <w:p>
      <w:pPr>
        <w:pStyle w:val="13"/>
        <w:numPr>
          <w:ilvl w:val="0"/>
          <w:numId w:val="8"/>
        </w:numPr>
        <w:spacing w:after="156" w:afterLines="50"/>
        <w:ind w:firstLineChars="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sz w:val="21"/>
          <w:szCs w:val="21"/>
        </w:rPr>
        <w:t>显示单位</w:t>
      </w:r>
    </w:p>
    <w:p>
      <w:pPr>
        <w:spacing w:after="156" w:afterLines="50"/>
        <w:ind w:firstLine="422" w:firstLineChars="20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默认单位</w:t>
      </w:r>
      <w:r>
        <w:rPr>
          <w:rFonts w:hint="eastAsia" w:cs="Times New Roman"/>
          <w:sz w:val="21"/>
          <w:szCs w:val="21"/>
        </w:rPr>
        <w:t>：力-</w:t>
      </w:r>
      <w:r>
        <w:rPr>
          <w:rFonts w:hint="eastAsia" w:cs="Times New Roman"/>
          <w:i w:val="0"/>
          <w:iCs w:val="0"/>
          <w:sz w:val="21"/>
          <w:szCs w:val="21"/>
        </w:rPr>
        <w:t>k</w:t>
      </w:r>
      <w:r>
        <w:rPr>
          <w:rFonts w:hint="eastAsia" w:cs="Times New Roman"/>
          <w:sz w:val="21"/>
          <w:szCs w:val="21"/>
        </w:rPr>
        <w:t>N(千牛)，长度-m</w:t>
      </w:r>
      <w:r>
        <w:rPr>
          <w:rFonts w:cs="Times New Roman"/>
          <w:sz w:val="21"/>
          <w:szCs w:val="21"/>
        </w:rPr>
        <w:t>(</w:t>
      </w:r>
      <w:r>
        <w:rPr>
          <w:rFonts w:hint="eastAsia" w:cs="Times New Roman"/>
          <w:sz w:val="21"/>
          <w:szCs w:val="21"/>
        </w:rPr>
        <w:t>米)，质量-T</w:t>
      </w:r>
      <w:r>
        <w:rPr>
          <w:rFonts w:cs="Times New Roman"/>
          <w:sz w:val="21"/>
          <w:szCs w:val="21"/>
        </w:rPr>
        <w:t>(</w:t>
      </w:r>
      <w:r>
        <w:rPr>
          <w:rFonts w:hint="eastAsia" w:cs="Times New Roman"/>
          <w:sz w:val="21"/>
          <w:szCs w:val="21"/>
        </w:rPr>
        <w:t>吨)；</w:t>
      </w:r>
    </w:p>
    <w:p>
      <w:pPr>
        <w:spacing w:after="156" w:afterLines="50"/>
        <w:ind w:firstLine="422" w:firstLineChars="20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不带单位</w:t>
      </w:r>
      <w:r>
        <w:rPr>
          <w:rFonts w:hint="eastAsia" w:cs="Times New Roman"/>
          <w:sz w:val="21"/>
          <w:szCs w:val="21"/>
        </w:rPr>
        <w:t>：</w:t>
      </w:r>
      <w:r>
        <w:rPr>
          <w:rFonts w:hint="eastAsia" w:cs="Times New Roman"/>
          <w:sz w:val="21"/>
          <w:szCs w:val="21"/>
          <w:lang w:val="en-US" w:eastAsia="zh-CN"/>
        </w:rPr>
        <w:t>长度、荷载、质量</w:t>
      </w:r>
      <w:r>
        <w:rPr>
          <w:rFonts w:hint="eastAsia" w:cs="Times New Roman"/>
          <w:sz w:val="21"/>
          <w:szCs w:val="21"/>
        </w:rPr>
        <w:t>可</w:t>
      </w:r>
      <w:r>
        <w:rPr>
          <w:rFonts w:hint="eastAsia" w:cs="Times New Roman"/>
          <w:sz w:val="21"/>
          <w:szCs w:val="21"/>
          <w:lang w:eastAsia="zh-CN"/>
        </w:rPr>
        <w:t>选</w:t>
      </w:r>
      <w:r>
        <w:rPr>
          <w:rFonts w:hint="eastAsia" w:cs="Times New Roman"/>
          <w:sz w:val="21"/>
          <w:szCs w:val="21"/>
        </w:rPr>
        <w:t>用参数符号显示。</w:t>
      </w:r>
    </w:p>
    <w:p>
      <w:pPr>
        <w:pStyle w:val="13"/>
        <w:numPr>
          <w:ilvl w:val="0"/>
          <w:numId w:val="8"/>
        </w:numPr>
        <w:spacing w:after="156" w:afterLines="50"/>
        <w:ind w:firstLineChars="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sz w:val="21"/>
          <w:szCs w:val="21"/>
        </w:rPr>
        <w:t>参数符号</w:t>
      </w:r>
      <w:r>
        <w:rPr>
          <w:rFonts w:hint="eastAsia" w:cs="Times New Roman"/>
          <w:b/>
          <w:bCs/>
          <w:color w:val="FF0000"/>
          <w:sz w:val="21"/>
          <w:szCs w:val="21"/>
          <w:lang w:eastAsia="zh-CN"/>
        </w:rPr>
        <w:t>（不同性质符号</w:t>
      </w:r>
      <w:r>
        <w:rPr>
          <w:rFonts w:hint="eastAsia" w:cs="Times New Roman"/>
          <w:b/>
          <w:bCs/>
          <w:color w:val="FF0000"/>
          <w:sz w:val="21"/>
          <w:szCs w:val="21"/>
          <w:lang w:val="en-US" w:eastAsia="zh-CN"/>
        </w:rPr>
        <w:t>必须</w:t>
      </w:r>
      <w:r>
        <w:rPr>
          <w:rFonts w:hint="eastAsia" w:cs="Times New Roman"/>
          <w:b/>
          <w:bCs/>
          <w:color w:val="FF0000"/>
          <w:sz w:val="21"/>
          <w:szCs w:val="21"/>
          <w:lang w:eastAsia="zh-CN"/>
        </w:rPr>
        <w:t>避免重复）</w:t>
      </w:r>
    </w:p>
    <w:p>
      <w:pPr>
        <w:spacing w:after="156" w:afterLines="50"/>
        <w:ind w:firstLine="422" w:firstLineChars="200"/>
        <w:rPr>
          <w:rFonts w:cs="Times New Roman"/>
          <w:sz w:val="21"/>
          <w:szCs w:val="21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长度符号</w:t>
      </w:r>
      <w:r>
        <w:rPr>
          <w:rFonts w:hint="eastAsia" w:cs="Times New Roman"/>
          <w:sz w:val="21"/>
          <w:szCs w:val="21"/>
        </w:rPr>
        <w:t>：可选择</w:t>
      </w:r>
      <w:r>
        <w:rPr>
          <w:rFonts w:hint="eastAsia" w:cs="Times New Roman"/>
          <w:i/>
          <w:iCs/>
          <w:sz w:val="21"/>
          <w:szCs w:val="21"/>
        </w:rPr>
        <w:t>l、L、a</w:t>
      </w:r>
      <w:r>
        <w:rPr>
          <w:rFonts w:hint="eastAsia" w:cs="Times New Roman"/>
          <w:sz w:val="21"/>
          <w:szCs w:val="21"/>
        </w:rPr>
        <w:t>等。</w:t>
      </w:r>
    </w:p>
    <w:p>
      <w:pPr>
        <w:spacing w:after="156" w:afterLines="50"/>
        <w:ind w:firstLine="422" w:firstLineChars="200"/>
        <w:rPr>
          <w:rFonts w:hint="eastAsia" w:cs="Times New Roman" w:eastAsiaTheme="minorEastAsia"/>
          <w:sz w:val="21"/>
          <w:szCs w:val="21"/>
          <w:lang w:eastAsia="zh-CN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荷载符号</w:t>
      </w:r>
      <w:r>
        <w:rPr>
          <w:rFonts w:hint="eastAsia" w:cs="Times New Roman"/>
          <w:sz w:val="21"/>
          <w:szCs w:val="21"/>
        </w:rPr>
        <w:t>：系统提供以下</w:t>
      </w:r>
      <w:r>
        <w:rPr>
          <w:rFonts w:hint="eastAsia" w:cs="Times New Roman"/>
          <w:sz w:val="21"/>
          <w:szCs w:val="21"/>
          <w:lang w:val="en-US" w:eastAsia="zh-CN"/>
        </w:rPr>
        <w:t>五</w:t>
      </w:r>
      <w:r>
        <w:rPr>
          <w:rFonts w:hint="eastAsia" w:cs="Times New Roman"/>
          <w:sz w:val="21"/>
          <w:szCs w:val="21"/>
        </w:rPr>
        <w:t>种选项</w:t>
      </w:r>
    </w:p>
    <w:p>
      <w:pPr>
        <w:spacing w:after="156" w:afterLines="50"/>
        <w:ind w:firstLine="371" w:firstLineChars="177"/>
        <w:rPr>
          <w:rFonts w:cs="Times New Roman"/>
          <w:sz w:val="21"/>
          <w:szCs w:val="21"/>
        </w:rPr>
      </w:pPr>
      <w:r>
        <w:rPr>
          <w:rFonts w:hint="eastAsia" w:cs="Times New Roman"/>
          <w:sz w:val="21"/>
          <w:szCs w:val="21"/>
        </w:rPr>
        <w:t>（1）选项“</w:t>
      </w:r>
      <w:r>
        <w:rPr>
          <w:rFonts w:hint="eastAsia" w:cs="Times New Roman"/>
          <w:i/>
          <w:iCs/>
          <w:sz w:val="21"/>
          <w:szCs w:val="21"/>
        </w:rPr>
        <w:t>q</w:t>
      </w:r>
      <w:r>
        <w:rPr>
          <w:rFonts w:hint="eastAsia" w:cs="Times New Roman"/>
          <w:iCs/>
          <w:sz w:val="21"/>
          <w:szCs w:val="21"/>
        </w:rPr>
        <w:t>”</w:t>
      </w:r>
      <w:r>
        <w:rPr>
          <w:rFonts w:hint="eastAsia" w:cs="Times New Roman"/>
          <w:sz w:val="21"/>
          <w:szCs w:val="21"/>
        </w:rPr>
        <w:t>，选择该项</w:t>
      </w:r>
      <w:r>
        <w:rPr>
          <w:rFonts w:hint="eastAsia" w:cs="Times New Roman"/>
          <w:sz w:val="21"/>
          <w:szCs w:val="21"/>
          <w:lang w:eastAsia="zh-CN"/>
        </w:rPr>
        <w:t>时</w:t>
      </w:r>
      <w:r>
        <w:rPr>
          <w:rFonts w:hint="eastAsia" w:cs="Times New Roman"/>
          <w:sz w:val="21"/>
          <w:szCs w:val="21"/>
        </w:rPr>
        <w:t>，系统默认荷载模式为均布荷载。对于集中力将自动转化为</w:t>
      </w:r>
      <w:r>
        <w:rPr>
          <w:rFonts w:hint="eastAsia" w:cs="Times New Roman"/>
          <w:i/>
          <w:iCs/>
          <w:sz w:val="21"/>
          <w:szCs w:val="21"/>
        </w:rPr>
        <w:t>q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×</m:t>
        </m:r>
      </m:oMath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，力偶作用则将自动转化为</w:t>
      </w:r>
      <w:r>
        <w:rPr>
          <w:rFonts w:hint="eastAsia" w:cs="Times New Roman"/>
          <w:i/>
          <w:iCs/>
          <w:sz w:val="21"/>
          <w:szCs w:val="21"/>
        </w:rPr>
        <w:t>q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×</m:t>
        </m:r>
      </m:oMath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hint="eastAsia" w:cs="Times New Roman"/>
          <w:sz w:val="21"/>
          <w:szCs w:val="21"/>
          <w:vertAlign w:val="superscript"/>
        </w:rPr>
        <w:t>2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；</w:t>
      </w:r>
    </w:p>
    <w:p>
      <w:pPr>
        <w:spacing w:after="156" w:afterLines="50"/>
        <w:ind w:firstLine="420" w:firstLineChars="200"/>
        <w:rPr>
          <w:rFonts w:hint="eastAsia" w:cs="Times New Roman"/>
          <w:sz w:val="21"/>
          <w:szCs w:val="21"/>
        </w:rPr>
      </w:pPr>
      <w:r>
        <w:rPr>
          <w:rFonts w:hint="eastAsia" w:cs="Times New Roman"/>
          <w:sz w:val="21"/>
          <w:szCs w:val="21"/>
        </w:rPr>
        <w:t>（2）选项“</w:t>
      </w:r>
      <w:r>
        <w:rPr>
          <w:rFonts w:hint="eastAsia" w:cs="Times New Roman"/>
          <w:i/>
          <w:iCs/>
          <w:sz w:val="21"/>
          <w:szCs w:val="21"/>
        </w:rPr>
        <w:t>F</w:t>
      </w:r>
      <w:r>
        <w:rPr>
          <w:rFonts w:hint="eastAsia" w:cs="Times New Roman"/>
          <w:sz w:val="21"/>
          <w:szCs w:val="21"/>
        </w:rPr>
        <w:t>”</w:t>
      </w:r>
      <w:r>
        <w:rPr>
          <w:rFonts w:hint="eastAsia" w:cs="Times New Roman"/>
          <w:strike w:val="0"/>
          <w:dstrike w:val="0"/>
          <w:color w:val="0000FF"/>
          <w:sz w:val="21"/>
          <w:szCs w:val="21"/>
          <w:lang w:eastAsia="zh-CN"/>
        </w:rPr>
        <w:t>（</w:t>
      </w:r>
      <w:r>
        <w:rPr>
          <w:rFonts w:hint="eastAsia" w:cs="Times New Roman"/>
          <w:strike w:val="0"/>
          <w:dstrike w:val="0"/>
          <w:color w:val="0000FF"/>
          <w:sz w:val="21"/>
          <w:szCs w:val="21"/>
          <w:lang w:val="en-US" w:eastAsia="zh-CN"/>
        </w:rPr>
        <w:t>区分结点号，自动修改</w:t>
      </w:r>
      <w:r>
        <w:rPr>
          <w:rFonts w:hint="eastAsia" w:cs="Times New Roman"/>
          <w:i/>
          <w:iCs/>
          <w:strike w:val="0"/>
          <w:dstrike w:val="0"/>
          <w:color w:val="0000FF"/>
          <w:sz w:val="21"/>
          <w:szCs w:val="21"/>
        </w:rPr>
        <w:t>F</w:t>
      </w:r>
      <w:r>
        <w:rPr>
          <w:rFonts w:hint="default" w:ascii="Arial" w:hAnsi="Arial" w:cs="Arial"/>
          <w:i/>
          <w:iCs/>
          <w:strike w:val="0"/>
          <w:dstrike w:val="0"/>
          <w:color w:val="0000FF"/>
          <w:sz w:val="21"/>
          <w:szCs w:val="21"/>
        </w:rPr>
        <w:t>→</w:t>
      </w:r>
      <w:r>
        <w:rPr>
          <w:rFonts w:hint="default" w:ascii="Times New Roman" w:hAnsi="Times New Roman" w:cs="Times New Roman"/>
          <w:i/>
          <w:iCs/>
          <w:strike w:val="0"/>
          <w:dstrike w:val="0"/>
          <w:color w:val="0000FF"/>
          <w:sz w:val="21"/>
          <w:szCs w:val="21"/>
          <w:lang w:val="en-US" w:eastAsia="zh-CN"/>
        </w:rPr>
        <w:t>F</w:t>
      </w:r>
      <w:r>
        <w:rPr>
          <w:rFonts w:hint="default" w:ascii="Times New Roman" w:hAnsi="Times New Roman" w:cs="Times New Roman"/>
          <w:i w:val="0"/>
          <w:iCs w:val="0"/>
          <w:strike w:val="0"/>
          <w:dstrike w:val="0"/>
          <w:color w:val="0000FF"/>
          <w:sz w:val="21"/>
          <w:szCs w:val="21"/>
          <w:vertAlign w:val="subscript"/>
          <w:lang w:val="en-US" w:eastAsia="zh-CN"/>
        </w:rPr>
        <w:t>P</w:t>
      </w:r>
      <w:r>
        <w:rPr>
          <w:rFonts w:hint="eastAsia" w:cs="Times New Roman"/>
          <w:strike w:val="0"/>
          <w:dstrike w:val="0"/>
          <w:color w:val="0000FF"/>
          <w:sz w:val="21"/>
          <w:szCs w:val="21"/>
          <w:lang w:eastAsia="zh-CN"/>
        </w:rPr>
        <w:t>）</w:t>
      </w:r>
      <w:r>
        <w:rPr>
          <w:rFonts w:hint="eastAsia" w:cs="Times New Roman"/>
          <w:sz w:val="21"/>
          <w:szCs w:val="21"/>
        </w:rPr>
        <w:t>，选择该项</w:t>
      </w:r>
      <w:r>
        <w:rPr>
          <w:rFonts w:hint="eastAsia" w:cs="Times New Roman"/>
          <w:sz w:val="21"/>
          <w:szCs w:val="21"/>
          <w:lang w:eastAsia="zh-CN"/>
        </w:rPr>
        <w:t>时</w:t>
      </w:r>
      <w:r>
        <w:rPr>
          <w:rFonts w:hint="eastAsia" w:cs="Times New Roman"/>
          <w:sz w:val="21"/>
          <w:szCs w:val="21"/>
        </w:rPr>
        <w:t>，系统默认荷载模式为集中荷载。对于分布力将自动转化为</w:t>
      </w:r>
      <w:r>
        <w:rPr>
          <w:rFonts w:hint="eastAsia" w:cs="Times New Roman"/>
          <w:i/>
          <w:iCs/>
          <w:sz w:val="21"/>
          <w:szCs w:val="21"/>
        </w:rPr>
        <w:t>F</w:t>
      </w:r>
      <w:r>
        <w:rPr>
          <w:rFonts w:hint="eastAsia" w:cs="Times New Roman"/>
          <w:sz w:val="21"/>
          <w:szCs w:val="21"/>
        </w:rPr>
        <w:t>/</w:t>
      </w:r>
      <w:r>
        <w:rPr>
          <w:rFonts w:cs="Times New Roman"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，力偶矩则将自动转化为</w:t>
      </w:r>
      <w:r>
        <w:rPr>
          <w:rFonts w:hint="eastAsia" w:cs="Times New Roman"/>
          <w:i/>
          <w:iCs/>
          <w:sz w:val="21"/>
          <w:szCs w:val="21"/>
        </w:rPr>
        <w:t>F</w:t>
      </w:r>
      <m:oMath>
        <m:r>
          <m:rPr>
            <m:sty m:val="p"/>
          </m:rPr>
          <w:rPr>
            <w:rFonts w:ascii="Cambria Math" w:hAnsi="Cambria Math" w:cs="Times New Roman"/>
            <w:sz w:val="21"/>
            <w:szCs w:val="21"/>
          </w:rPr>
          <m:t>×</m:t>
        </m:r>
      </m:oMath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；</w:t>
      </w:r>
    </w:p>
    <w:p>
      <w:pPr>
        <w:spacing w:after="156" w:afterLines="50"/>
        <w:ind w:firstLine="420" w:firstLineChars="200"/>
        <w:rPr>
          <w:rFonts w:hint="eastAsia" w:cs="Times New Roman"/>
          <w:sz w:val="21"/>
          <w:szCs w:val="21"/>
        </w:rPr>
      </w:pPr>
      <w:r>
        <w:rPr>
          <w:rFonts w:hint="eastAsia" w:cs="Times New Roman"/>
          <w:sz w:val="21"/>
          <w:szCs w:val="21"/>
        </w:rPr>
        <w:t>（3）选项“</w:t>
      </w:r>
      <w:r>
        <w:rPr>
          <w:rFonts w:hint="eastAsia" w:cs="Times New Roman"/>
          <w:i/>
          <w:iCs/>
          <w:sz w:val="21"/>
          <w:szCs w:val="21"/>
        </w:rPr>
        <w:t>M</w:t>
      </w:r>
      <w:r>
        <w:rPr>
          <w:rFonts w:hint="eastAsia" w:cs="Times New Roman"/>
          <w:sz w:val="21"/>
          <w:szCs w:val="21"/>
        </w:rPr>
        <w:t>”，选择该项</w:t>
      </w:r>
      <w:r>
        <w:rPr>
          <w:rFonts w:hint="eastAsia" w:cs="Times New Roman"/>
          <w:sz w:val="21"/>
          <w:szCs w:val="21"/>
          <w:lang w:eastAsia="zh-CN"/>
        </w:rPr>
        <w:t>时</w:t>
      </w:r>
      <w:r>
        <w:rPr>
          <w:rFonts w:hint="eastAsia" w:cs="Times New Roman"/>
          <w:sz w:val="21"/>
          <w:szCs w:val="21"/>
        </w:rPr>
        <w:t>，系统默认荷载模式为力偶矩。对分布力将自动转化为</w:t>
      </w:r>
      <w:r>
        <w:rPr>
          <w:rFonts w:hint="eastAsia" w:cs="Times New Roman"/>
          <w:i/>
          <w:iCs/>
          <w:sz w:val="21"/>
          <w:szCs w:val="21"/>
        </w:rPr>
        <w:t>M</w:t>
      </w:r>
      <w:r>
        <w:rPr>
          <w:rFonts w:hint="eastAsia" w:cs="Times New Roman"/>
          <w:sz w:val="21"/>
          <w:szCs w:val="21"/>
        </w:rPr>
        <w:t>/</w:t>
      </w:r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hint="eastAsia" w:cs="Times New Roman"/>
          <w:sz w:val="21"/>
          <w:szCs w:val="21"/>
          <w:vertAlign w:val="superscript"/>
        </w:rPr>
        <w:t>2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，集中力将自动转化为</w:t>
      </w:r>
      <w:r>
        <w:rPr>
          <w:rFonts w:hint="eastAsia" w:cs="Times New Roman"/>
          <w:i/>
          <w:iCs/>
          <w:sz w:val="21"/>
          <w:szCs w:val="21"/>
        </w:rPr>
        <w:t>M</w:t>
      </w:r>
      <w:r>
        <w:rPr>
          <w:rFonts w:hint="eastAsia" w:cs="Times New Roman"/>
          <w:sz w:val="21"/>
          <w:szCs w:val="21"/>
        </w:rPr>
        <w:t>/</w:t>
      </w:r>
      <w:r>
        <w:rPr>
          <w:rFonts w:cs="Times New Roman"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；</w:t>
      </w:r>
    </w:p>
    <w:p>
      <w:pPr>
        <w:spacing w:after="156" w:afterLines="50"/>
        <w:ind w:firstLine="420" w:firstLineChars="200"/>
        <w:rPr>
          <w:rFonts w:hint="eastAsia" w:cs="Times New Roman"/>
          <w:sz w:val="21"/>
          <w:szCs w:val="21"/>
        </w:rPr>
        <w:sectPr>
          <w:headerReference r:id="rId7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3568" w:space="425"/>
            <w:col w:w="9965"/>
          </w:cols>
          <w:docGrid w:type="lines" w:linePitch="312" w:charSpace="0"/>
        </w:sectPr>
      </w:pPr>
      <w:r>
        <w:rPr>
          <w:rFonts w:hint="eastAsia" w:cs="Times New Roman"/>
          <w:sz w:val="21"/>
          <w:szCs w:val="21"/>
        </w:rPr>
        <w:t>（</w:t>
      </w:r>
      <w:r>
        <w:rPr>
          <w:rFonts w:hint="eastAsia" w:cs="Times New Roman"/>
          <w:sz w:val="21"/>
          <w:szCs w:val="21"/>
          <w:lang w:val="en-US" w:eastAsia="zh-CN"/>
        </w:rPr>
        <w:t>4</w:t>
      </w:r>
      <w:r>
        <w:rPr>
          <w:rFonts w:hint="eastAsia" w:cs="Times New Roman"/>
          <w:sz w:val="21"/>
          <w:szCs w:val="21"/>
        </w:rPr>
        <w:t>）选项“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Delta</w:t>
      </w:r>
      <w:r>
        <w:rPr>
          <w:rFonts w:hint="eastAsia" w:cs="Times New Roman"/>
          <w:sz w:val="21"/>
          <w:szCs w:val="21"/>
        </w:rPr>
        <w:t>”，选择该项</w:t>
      </w:r>
      <w:r>
        <w:rPr>
          <w:rFonts w:hint="eastAsia" w:cs="Times New Roman"/>
          <w:sz w:val="21"/>
          <w:szCs w:val="21"/>
          <w:lang w:eastAsia="zh-CN"/>
        </w:rPr>
        <w:t>时</w:t>
      </w:r>
      <w:r>
        <w:rPr>
          <w:rFonts w:hint="eastAsia" w:cs="Times New Roman"/>
          <w:sz w:val="21"/>
          <w:szCs w:val="21"/>
        </w:rPr>
        <w:t>，系统默认荷载模式为</w:t>
      </w:r>
      <w:r>
        <w:rPr>
          <w:rFonts w:hint="eastAsia" w:cs="Times New Roman"/>
          <w:sz w:val="21"/>
          <w:szCs w:val="21"/>
          <w:lang w:val="en-US" w:eastAsia="zh-CN"/>
        </w:rPr>
        <w:t>支移的线位移</w:t>
      </w:r>
      <w:r>
        <w:rPr>
          <w:rFonts w:hint="eastAsia" w:cs="Times New Roman"/>
          <w:sz w:val="21"/>
          <w:szCs w:val="21"/>
        </w:rPr>
        <w:t>。</w:t>
      </w:r>
      <w:r>
        <w:rPr>
          <w:rFonts w:hint="eastAsia" w:cs="Times New Roman"/>
          <w:sz w:val="21"/>
          <w:szCs w:val="21"/>
          <w:lang w:val="en-US" w:eastAsia="zh-CN"/>
        </w:rPr>
        <w:t>支座角位移自动转化为</w:t>
      </w:r>
      <w:r>
        <w:rPr>
          <w:rFonts w:hint="default" w:ascii="Symbol" w:hAnsi="Symbol" w:cs="Symbol"/>
          <w:i/>
          <w:iCs/>
          <w:sz w:val="21"/>
          <w:szCs w:val="21"/>
          <w:lang w:val="en-US" w:eastAsia="zh-CN"/>
        </w:rPr>
        <w:t>D</w:t>
      </w:r>
      <w:r>
        <w:rPr>
          <w:rFonts w:hint="eastAsia" w:cs="Times New Roman"/>
          <w:sz w:val="21"/>
          <w:szCs w:val="21"/>
        </w:rPr>
        <w:t>/</w:t>
      </w:r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</w:p>
    <w:p>
      <w:pPr>
        <w:spacing w:after="156" w:afterLines="50"/>
        <w:ind w:firstLine="420" w:firstLineChars="200"/>
        <w:rPr>
          <w:rFonts w:hint="default" w:cs="Times New Roman" w:eastAsiaTheme="minorEastAsia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；</w:t>
      </w:r>
      <w:r>
        <w:rPr>
          <w:rFonts w:hint="eastAsia" w:cs="Times New Roman"/>
          <w:sz w:val="21"/>
          <w:szCs w:val="21"/>
          <w:lang w:val="en-US" w:eastAsia="zh-CN"/>
        </w:rPr>
        <w:t>选中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Delta</w:t>
      </w:r>
      <w:r>
        <w:rPr>
          <w:rFonts w:hint="eastAsia" w:cs="Times New Roman"/>
          <w:sz w:val="21"/>
          <w:szCs w:val="21"/>
          <w:lang w:val="en-US" w:eastAsia="zh-CN"/>
        </w:rPr>
        <w:t>不支持支移外其余荷载输入；</w:t>
      </w:r>
    </w:p>
    <w:p>
      <w:pPr>
        <w:spacing w:after="156" w:afterLines="50"/>
        <w:ind w:firstLine="420" w:firstLineChars="200"/>
        <w:rPr>
          <w:rFonts w:hint="default" w:cs="Times New Roman" w:eastAsiaTheme="minorEastAsia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</w:rPr>
        <w:t>（</w:t>
      </w:r>
      <w:r>
        <w:rPr>
          <w:rFonts w:hint="eastAsia" w:cs="Times New Roman"/>
          <w:sz w:val="21"/>
          <w:szCs w:val="21"/>
          <w:lang w:val="en-US" w:eastAsia="zh-CN"/>
        </w:rPr>
        <w:t>5</w:t>
      </w:r>
      <w:r>
        <w:rPr>
          <w:rFonts w:hint="eastAsia" w:cs="Times New Roman"/>
          <w:sz w:val="21"/>
          <w:szCs w:val="21"/>
        </w:rPr>
        <w:t>）选项“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Phi</w:t>
      </w:r>
      <w:r>
        <w:rPr>
          <w:rFonts w:hint="eastAsia" w:cs="Times New Roman"/>
          <w:sz w:val="21"/>
          <w:szCs w:val="21"/>
        </w:rPr>
        <w:t>”，选择该项</w:t>
      </w:r>
      <w:r>
        <w:rPr>
          <w:rFonts w:hint="eastAsia" w:cs="Times New Roman"/>
          <w:sz w:val="21"/>
          <w:szCs w:val="21"/>
          <w:lang w:eastAsia="zh-CN"/>
        </w:rPr>
        <w:t>时</w:t>
      </w:r>
      <w:r>
        <w:rPr>
          <w:rFonts w:hint="eastAsia" w:cs="Times New Roman"/>
          <w:sz w:val="21"/>
          <w:szCs w:val="21"/>
        </w:rPr>
        <w:t>，系统默认荷载模式为</w:t>
      </w:r>
      <w:r>
        <w:rPr>
          <w:rFonts w:hint="eastAsia" w:cs="Times New Roman"/>
          <w:sz w:val="21"/>
          <w:szCs w:val="21"/>
          <w:lang w:val="en-US" w:eastAsia="zh-CN"/>
        </w:rPr>
        <w:t>支移的角位移</w:t>
      </w:r>
      <w:r>
        <w:rPr>
          <w:rFonts w:hint="eastAsia" w:cs="Times New Roman"/>
          <w:sz w:val="21"/>
          <w:szCs w:val="21"/>
        </w:rPr>
        <w:t>。</w:t>
      </w:r>
      <w:r>
        <w:rPr>
          <w:rFonts w:hint="eastAsia" w:cs="Times New Roman"/>
          <w:sz w:val="21"/>
          <w:szCs w:val="21"/>
          <w:lang w:val="en-US" w:eastAsia="zh-CN"/>
        </w:rPr>
        <w:t>对支座线位移将自动转化为</w:t>
      </w:r>
      <w:r>
        <w:rPr>
          <w:rFonts w:hint="eastAsia" w:ascii="Symbol" w:hAnsi="Symbol" w:cs="Symbol"/>
          <w:i/>
          <w:iCs/>
          <w:sz w:val="21"/>
          <w:szCs w:val="21"/>
          <w:lang w:val="en-US" w:eastAsia="zh-CN"/>
        </w:rPr>
        <w:t>j*</w:t>
      </w:r>
      <w:r>
        <w:rPr>
          <w:rFonts w:hint="eastAsia" w:cs="Times New Roman"/>
          <w:iCs/>
          <w:sz w:val="21"/>
          <w:szCs w:val="21"/>
        </w:rPr>
        <w:t>[</w:t>
      </w:r>
      <w:r>
        <w:rPr>
          <w:rFonts w:hint="eastAsia" w:cs="Times New Roman"/>
          <w:sz w:val="21"/>
          <w:szCs w:val="21"/>
        </w:rPr>
        <w:t>长度</w:t>
      </w:r>
      <w:r>
        <w:rPr>
          <w:rFonts w:hint="eastAsia" w:cs="Times New Roman"/>
          <w:sz w:val="21"/>
          <w:szCs w:val="21"/>
          <w:lang w:val="en-US" w:eastAsia="zh-CN"/>
        </w:rPr>
        <w:t>符号</w:t>
      </w:r>
      <w:r>
        <w:rPr>
          <w:rFonts w:cs="Times New Roman"/>
          <w:sz w:val="21"/>
          <w:szCs w:val="21"/>
        </w:rPr>
        <w:t>]</w:t>
      </w:r>
      <w:r>
        <w:rPr>
          <w:rFonts w:hint="eastAsia" w:cs="Times New Roman"/>
          <w:sz w:val="21"/>
          <w:szCs w:val="21"/>
        </w:rPr>
        <w:t>；</w:t>
      </w:r>
      <w:r>
        <w:rPr>
          <w:rFonts w:hint="eastAsia" w:cs="Times New Roman"/>
          <w:sz w:val="21"/>
          <w:szCs w:val="21"/>
          <w:lang w:val="en-US" w:eastAsia="zh-CN"/>
        </w:rPr>
        <w:t>选中</w:t>
      </w:r>
      <w:r>
        <w:rPr>
          <w:rFonts w:hint="eastAsia" w:cs="Times New Roman"/>
          <w:i/>
          <w:iCs/>
          <w:sz w:val="21"/>
          <w:szCs w:val="21"/>
          <w:lang w:val="en-US" w:eastAsia="zh-CN"/>
        </w:rPr>
        <w:t>Phi</w:t>
      </w:r>
      <w:r>
        <w:rPr>
          <w:rFonts w:hint="eastAsia" w:cs="Times New Roman"/>
          <w:sz w:val="21"/>
          <w:szCs w:val="21"/>
          <w:lang w:val="en-US" w:eastAsia="zh-CN"/>
        </w:rPr>
        <w:t>时不支持支移外其余荷载输入；</w:t>
      </w:r>
    </w:p>
    <w:p>
      <w:pPr>
        <w:spacing w:after="156" w:afterLines="50"/>
        <w:ind w:firstLine="420" w:firstLineChars="200"/>
        <w:rPr>
          <w:rFonts w:hint="eastAsia" w:cs="Times New Roman"/>
          <w:sz w:val="21"/>
          <w:szCs w:val="21"/>
        </w:rPr>
      </w:pPr>
    </w:p>
    <w:p>
      <w:pPr>
        <w:spacing w:after="156" w:afterLines="50"/>
        <w:ind w:firstLine="422" w:firstLineChars="200"/>
        <w:rPr>
          <w:rFonts w:hint="eastAsia" w:cs="Times New Roman"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color w:val="0000FF"/>
          <w:sz w:val="21"/>
          <w:szCs w:val="21"/>
        </w:rPr>
        <w:t>截面刚度符号</w:t>
      </w:r>
      <w:r>
        <w:rPr>
          <w:rFonts w:hint="eastAsia" w:cs="Times New Roman"/>
          <w:sz w:val="21"/>
          <w:szCs w:val="21"/>
        </w:rPr>
        <w:t>：抗弯刚度选</w:t>
      </w:r>
      <w:r>
        <w:rPr>
          <w:rFonts w:hint="eastAsia" w:cs="Times New Roman"/>
          <w:i/>
          <w:iCs/>
          <w:sz w:val="21"/>
          <w:szCs w:val="21"/>
        </w:rPr>
        <w:t>EI</w:t>
      </w:r>
      <w:r>
        <w:rPr>
          <w:rFonts w:hint="eastAsia" w:cs="Times New Roman"/>
          <w:sz w:val="21"/>
          <w:szCs w:val="21"/>
        </w:rPr>
        <w:t>，</w:t>
      </w:r>
      <w:r>
        <w:rPr>
          <w:rFonts w:hint="eastAsia" w:cs="Times New Roman"/>
          <w:sz w:val="21"/>
          <w:szCs w:val="21"/>
          <w:lang w:val="en-US" w:eastAsia="zh-CN"/>
        </w:rPr>
        <w:t>此时轴向刚度不可设置，为-1（不计轴向变形）；</w:t>
      </w:r>
    </w:p>
    <w:p>
      <w:pPr>
        <w:spacing w:after="156" w:afterLines="50"/>
        <w:ind w:firstLine="1881" w:firstLineChars="896"/>
        <w:rPr>
          <w:rFonts w:hint="default" w:cs="Times New Roman" w:eastAsiaTheme="minorEastAsia"/>
          <w:sz w:val="21"/>
          <w:szCs w:val="21"/>
          <w:lang w:val="en-US" w:eastAsia="zh-CN"/>
        </w:rPr>
      </w:pPr>
      <w:r>
        <w:rPr>
          <w:rFonts w:hint="eastAsia" w:cs="Times New Roman"/>
          <w:sz w:val="21"/>
          <w:szCs w:val="21"/>
        </w:rPr>
        <w:t>轴向刚度选</w:t>
      </w:r>
      <w:r>
        <w:rPr>
          <w:rFonts w:hint="eastAsia" w:cs="Times New Roman"/>
          <w:i/>
          <w:iCs/>
          <w:sz w:val="21"/>
          <w:szCs w:val="21"/>
        </w:rPr>
        <w:t>EA</w:t>
      </w:r>
      <w:r>
        <w:rPr>
          <w:rFonts w:hint="eastAsia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eastAsia" w:cs="Times New Roman"/>
          <w:i w:val="0"/>
          <w:iCs w:val="0"/>
          <w:sz w:val="21"/>
          <w:szCs w:val="21"/>
          <w:lang w:val="en-US" w:eastAsia="zh-CN"/>
        </w:rPr>
        <w:t>此时抗弯刚度不可设置，为0，即桁杆</w:t>
      </w:r>
      <w:r>
        <w:rPr>
          <w:rFonts w:hint="eastAsia" w:cs="Times New Roman"/>
          <w:i w:val="0"/>
          <w:iCs w:val="0"/>
          <w:sz w:val="21"/>
          <w:szCs w:val="21"/>
        </w:rPr>
        <w:t>；</w:t>
      </w:r>
    </w:p>
    <w:p>
      <w:pPr>
        <w:spacing w:after="156" w:afterLines="50"/>
        <w:ind w:firstLine="422" w:firstLineChars="200"/>
        <w:rPr>
          <w:rFonts w:hint="eastAsia" w:cs="Times New Roman"/>
          <w:sz w:val="21"/>
          <w:szCs w:val="21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7" w:num="2" w:sep="1"/>
          <w:docGrid w:type="lines" w:linePitch="312" w:charSpace="0"/>
        </w:sectPr>
      </w:pPr>
      <w:r>
        <w:rPr>
          <w:rFonts w:hint="eastAsia" w:cs="Times New Roman"/>
          <w:b/>
          <w:bCs/>
          <w:color w:val="0000FF"/>
          <w:sz w:val="21"/>
          <w:szCs w:val="21"/>
        </w:rPr>
        <w:t>质量符号</w:t>
      </w:r>
      <w:r>
        <w:rPr>
          <w:rFonts w:hint="eastAsia" w:cs="Times New Roman"/>
          <w:sz w:val="21"/>
          <w:szCs w:val="21"/>
        </w:rPr>
        <w:t>：默认质量符号m；</w:t>
      </w:r>
    </w:p>
    <w:p>
      <w:pPr>
        <w:spacing w:after="156" w:afterLines="50"/>
        <w:ind w:firstLine="420" w:firstLineChars="200"/>
        <w:rPr>
          <w:rFonts w:hint="eastAsia" w:cs="Times New Roman"/>
          <w:sz w:val="21"/>
          <w:szCs w:val="21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7" w:num="2" w:sep="1"/>
          <w:docGrid w:type="lines" w:linePitch="312" w:charSpace="0"/>
        </w:sectPr>
      </w:pPr>
    </w:p>
    <w:p>
      <w:pPr>
        <w:spacing w:after="156" w:afterLines="50"/>
        <w:ind w:firstLine="420" w:firstLineChars="200"/>
        <w:rPr>
          <w:rFonts w:cs="Times New Roman"/>
          <w:sz w:val="21"/>
          <w:szCs w:val="21"/>
        </w:rPr>
      </w:pPr>
    </w:p>
    <w:p>
      <w:pPr>
        <w:spacing w:after="156" w:afterLines="50"/>
        <w:ind w:firstLine="480" w:firstLineChars="200"/>
        <w:rPr>
          <w:rFonts w:cs="Times New Roman"/>
          <w:sz w:val="24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7" w:num="2" w:sep="1"/>
          <w:docGrid w:type="lines" w:linePitch="312" w:charSpace="0"/>
        </w:sectPr>
      </w:pPr>
    </w:p>
    <w:p>
      <w:pPr>
        <w:rPr>
          <w:b/>
          <w:bCs/>
          <w:sz w:val="36"/>
        </w:rPr>
      </w:pPr>
      <w:r>
        <w:rPr>
          <w:rFonts w:hint="eastAsia"/>
          <w:b/>
          <w:bCs/>
          <w:sz w:val="36"/>
        </w:rPr>
        <w:br w:type="page"/>
      </w:r>
    </w:p>
    <w:p>
      <w:pPr>
        <w:numPr>
          <w:ilvl w:val="0"/>
          <w:numId w:val="7"/>
        </w:numPr>
        <w:spacing w:after="156" w:afterLines="50"/>
        <w:ind w:firstLine="0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规则梁、刚架模型生成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1299210" cy="23933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1593" cy="239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sz w:val="24"/>
        </w:rPr>
        <w:drawing>
          <wp:inline distT="0" distB="0" distL="114300" distR="114300">
            <wp:extent cx="1372870" cy="24022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95388" cy="24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（a）梁 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>（b）规则框架</w:t>
      </w:r>
    </w:p>
    <w:p>
      <w:pPr>
        <w:jc w:val="center"/>
        <w:rPr>
          <w:color w:val="FF0000"/>
          <w:sz w:val="24"/>
          <w:highlight w:val="yellow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4</w:t>
      </w:r>
      <w:r>
        <w:rPr>
          <w:rFonts w:hint="eastAsia" w:cs="Times New Roman"/>
          <w:sz w:val="24"/>
        </w:rPr>
        <w:t>. 梁和规则平面框架的交互辅助建模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 xml:space="preserve"> 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spacing w:after="156" w:afterLines="50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1．梁</w:t>
      </w:r>
    </w:p>
    <w:p>
      <w:pPr>
        <w:spacing w:after="156" w:afterLines="50"/>
        <w:ind w:firstLine="420" w:firstLineChars="20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选择或输入梁的跨数，并在跨长文本框内输入各跨跨长。</w:t>
      </w:r>
    </w:p>
    <w:p>
      <w:pPr>
        <w:spacing w:after="156" w:afterLines="50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特殊结点和支座形式可在“模型修改”中修改。</w:t>
      </w:r>
    </w:p>
    <w:p>
      <w:pPr>
        <w:spacing w:after="156" w:afterLines="50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默认杆件为梁单元，忽略轴向变形。若需考虑轴向变形，</w:t>
      </w:r>
      <w:r>
        <w:rPr>
          <w:rFonts w:hint="eastAsia"/>
          <w:sz w:val="21"/>
          <w:szCs w:val="21"/>
          <w:lang w:eastAsia="zh-CN"/>
        </w:rPr>
        <w:t>需要在“模型特征”的</w:t>
      </w:r>
      <w:r>
        <w:rPr>
          <w:rFonts w:hint="eastAsia"/>
          <w:sz w:val="21"/>
          <w:szCs w:val="21"/>
        </w:rPr>
        <w:t>“截面变形参数”中修改（见图</w:t>
      </w: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/>
          <w:sz w:val="21"/>
          <w:szCs w:val="21"/>
        </w:rPr>
        <w:t>）。</w:t>
      </w:r>
    </w:p>
    <w:p>
      <w:pPr>
        <w:spacing w:after="156" w:afterLines="50"/>
        <w:jc w:val="left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2．规则框架</w:t>
      </w:r>
    </w:p>
    <w:p>
      <w:pPr>
        <w:spacing w:after="156" w:afterLines="50"/>
        <w:ind w:firstLine="420" w:firstLineChars="20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选择或输入框架跨数、层数，并输入各层层高和各跨跨长，即可生成平面规则框架；</w:t>
      </w:r>
      <w:r>
        <w:rPr>
          <w:rFonts w:hint="eastAsia"/>
          <w:sz w:val="21"/>
          <w:szCs w:val="21"/>
          <w:lang w:val="en-US" w:eastAsia="zh-CN"/>
        </w:rPr>
        <w:t>规则框架形成后，可在其基础上进一步形成复杂结构。</w:t>
      </w:r>
    </w:p>
    <w:p>
      <w:pPr>
        <w:spacing w:after="156" w:afterLines="50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特殊杆件、支座和结点形式可在“模型修改”中修改。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【说明】为实现教学辅助功能，智能分析技术使用了大量大规模数组；同时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未对存贮技术及算法继续优化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none"/>
          <w:lang w:val="en-US" w:eastAsia="zh-CN"/>
        </w:rPr>
        <w:t>，具体算法见《杆系结构有限元》。所有计算全依托内存运行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；大型结构可能会出现内存空间不足而崩溃的现象。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重要说明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】结构分析，均以建模时使用的“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结点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”和“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单元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”为基本分析对象，建模中如无特别必要（如动力分析因精度要求而离散质量等），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直杆单元应尽量合并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否则，杆件内部结点会影响内力图显示整体性；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或单元荷载变成结点荷载，作业不能实施叠加作图；</w:t>
      </w:r>
    </w:p>
    <w:p>
      <w:pPr>
        <w:pStyle w:val="13"/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728" w:space="425"/>
            <w:col w:w="6805"/>
          </w:cols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或增加位移法分析未知量数目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</w:t>
      </w:r>
    </w:p>
    <w:p>
      <w:pPr>
        <w:numPr>
          <w:ilvl w:val="0"/>
          <w:numId w:val="7"/>
        </w:numPr>
        <w:spacing w:after="156" w:afterLines="50"/>
        <w:ind w:firstLine="0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模型修改</w:t>
      </w:r>
    </w:p>
    <w:p>
      <w:pPr>
        <w:jc w:val="center"/>
      </w:pPr>
      <w:r>
        <w:drawing>
          <wp:inline distT="0" distB="0" distL="114300" distR="114300">
            <wp:extent cx="1715135" cy="4018915"/>
            <wp:effectExtent l="0" t="0" r="18415" b="635"/>
            <wp:docPr id="1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 w:firstLineChars="200"/>
        <w:jc w:val="center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5</w:t>
      </w:r>
      <w:r>
        <w:rPr>
          <w:rFonts w:hint="eastAsia" w:cs="Times New Roman"/>
          <w:sz w:val="24"/>
        </w:rPr>
        <w:t>. 模型修改选项卡</w:t>
      </w:r>
    </w:p>
    <w:p>
      <w:pPr>
        <w:spacing w:before="156" w:beforeLines="50" w:after="156" w:afterLines="50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spacing w:before="156" w:beforeLines="50" w:after="156" w:afterLines="5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单元修改</w:t>
      </w:r>
    </w:p>
    <w:p>
      <w:pPr>
        <w:spacing w:after="156" w:afterLines="50"/>
        <w:ind w:firstLine="401" w:firstLineChars="19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增加单元</w:t>
      </w:r>
      <w:r>
        <w:rPr>
          <w:rFonts w:hint="eastAsia" w:ascii="宋体" w:hAnsi="宋体" w:eastAsia="宋体" w:cs="宋体"/>
          <w:sz w:val="21"/>
          <w:szCs w:val="21"/>
        </w:rPr>
        <w:t>：鼠标捕捉两个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不同位置的</w:t>
      </w:r>
      <w:r>
        <w:rPr>
          <w:rFonts w:hint="eastAsia" w:ascii="宋体" w:hAnsi="宋体" w:eastAsia="宋体" w:cs="宋体"/>
          <w:sz w:val="21"/>
          <w:szCs w:val="21"/>
        </w:rPr>
        <w:t>结点，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生成新</w:t>
      </w:r>
      <w:r>
        <w:rPr>
          <w:rFonts w:hint="eastAsia" w:ascii="宋体" w:hAnsi="宋体" w:eastAsia="宋体" w:cs="宋体"/>
          <w:sz w:val="21"/>
          <w:szCs w:val="21"/>
        </w:rPr>
        <w:t>杆件。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新</w:t>
      </w:r>
      <w:r>
        <w:rPr>
          <w:rFonts w:hint="eastAsia" w:ascii="宋体" w:hAnsi="宋体" w:eastAsia="宋体" w:cs="宋体"/>
          <w:sz w:val="21"/>
          <w:szCs w:val="21"/>
        </w:rPr>
        <w:t>杆件刚度特征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</w:t>
      </w:r>
      <w:r>
        <w:rPr>
          <w:rFonts w:hint="eastAsia" w:ascii="宋体" w:hAnsi="宋体" w:eastAsia="宋体" w:cs="宋体"/>
          <w:sz w:val="21"/>
          <w:szCs w:val="21"/>
        </w:rPr>
        <w:t>默认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值</w:t>
      </w:r>
      <w:r>
        <w:rPr>
          <w:rFonts w:hint="eastAsia" w:ascii="宋体" w:hAnsi="宋体" w:eastAsia="宋体" w:cs="宋体"/>
          <w:sz w:val="21"/>
          <w:szCs w:val="21"/>
        </w:rPr>
        <w:t>；</w:t>
      </w:r>
    </w:p>
    <w:p>
      <w:pPr>
        <w:spacing w:after="156" w:afterLines="50"/>
        <w:ind w:firstLine="401" w:firstLineChars="19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删除单元</w:t>
      </w:r>
      <w:r>
        <w:rPr>
          <w:rFonts w:hint="eastAsia" w:ascii="宋体" w:hAnsi="宋体" w:eastAsia="宋体" w:cs="宋体"/>
          <w:sz w:val="21"/>
          <w:szCs w:val="21"/>
        </w:rPr>
        <w:t>：鼠标捕捉需删除杆件；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被删除单元其上的</w:t>
      </w:r>
      <w:r>
        <w:rPr>
          <w:rFonts w:hint="eastAsia" w:ascii="宋体" w:hAnsi="宋体" w:eastAsia="宋体" w:cs="宋体"/>
          <w:sz w:val="21"/>
          <w:szCs w:val="21"/>
        </w:rPr>
        <w:t>单元荷载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与此单元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唯一关联</w:t>
      </w:r>
      <w:r>
        <w:rPr>
          <w:rFonts w:hint="eastAsia" w:ascii="宋体" w:hAnsi="宋体" w:eastAsia="宋体" w:cs="宋体"/>
          <w:sz w:val="21"/>
          <w:szCs w:val="21"/>
        </w:rPr>
        <w:t>的结点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包括此结点上的结点荷载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）、</w:t>
      </w:r>
      <w:r>
        <w:rPr>
          <w:rFonts w:hint="eastAsia" w:ascii="宋体" w:hAnsi="宋体" w:eastAsia="宋体" w:cs="宋体"/>
          <w:sz w:val="21"/>
          <w:szCs w:val="21"/>
        </w:rPr>
        <w:t>支座，会一并删除；</w:t>
      </w:r>
    </w:p>
    <w:p>
      <w:pPr>
        <w:spacing w:after="156" w:afterLines="50"/>
        <w:ind w:firstLine="401" w:firstLineChars="19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修改截面刚度</w:t>
      </w:r>
      <w:r>
        <w:rPr>
          <w:rFonts w:hint="eastAsia" w:ascii="宋体" w:hAnsi="宋体" w:eastAsia="宋体" w:cs="宋体"/>
          <w:sz w:val="21"/>
          <w:szCs w:val="21"/>
        </w:rPr>
        <w:t>：鼠标捕捉杆件，在弹出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窗体的</w:t>
      </w:r>
      <w:r>
        <w:rPr>
          <w:rFonts w:hint="eastAsia" w:ascii="宋体" w:hAnsi="宋体" w:eastAsia="宋体" w:cs="宋体"/>
          <w:sz w:val="21"/>
          <w:szCs w:val="21"/>
        </w:rPr>
        <w:t>文本框中输入值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回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</w:rPr>
        <w:t>车键</w:t>
      </w:r>
      <w:r>
        <w:rPr>
          <w:rFonts w:hint="eastAsia" w:ascii="宋体" w:hAnsi="宋体" w:eastAsia="宋体" w:cs="宋体"/>
          <w:sz w:val="21"/>
          <w:szCs w:val="21"/>
        </w:rPr>
        <w:t>确认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b/>
          <w:bCs/>
          <w:color w:val="0000FF"/>
          <w:sz w:val="21"/>
          <w:szCs w:val="21"/>
          <w:lang w:val="en-US" w:eastAsia="zh-CN"/>
        </w:rPr>
        <w:t>ESC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不修改返回</w:t>
      </w:r>
      <w:r>
        <w:rPr>
          <w:rFonts w:hint="eastAsia" w:ascii="宋体" w:hAnsi="宋体" w:eastAsia="宋体" w:cs="宋体"/>
          <w:sz w:val="21"/>
          <w:szCs w:val="21"/>
        </w:rPr>
        <w:t>。无限刚度值输入“-1”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。目前截面刚度只显示符号或其倍数，不表示纯数值。</w:t>
      </w:r>
    </w:p>
    <w:p>
      <w:pPr>
        <w:spacing w:after="156" w:afterLines="50"/>
        <w:ind w:firstLine="401" w:firstLineChars="19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杆端刚结变铰结</w:t>
      </w:r>
      <w:r>
        <w:rPr>
          <w:rFonts w:hint="eastAsia" w:ascii="宋体" w:hAnsi="宋体" w:eastAsia="宋体" w:cs="宋体"/>
          <w:sz w:val="21"/>
          <w:szCs w:val="21"/>
        </w:rPr>
        <w:t>：鼠标捕捉杆件接近端，杆端改为铰结。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交互建模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暂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不包括其它复杂杆端约束（如定向结点、单向约束结点等，</w:t>
      </w:r>
      <w:r>
        <w:rPr>
          <w:rFonts w:hint="eastAsia" w:ascii="宋体" w:hAnsi="宋体" w:eastAsia="宋体" w:cs="宋体"/>
          <w:color w:val="0000FF"/>
          <w:sz w:val="21"/>
          <w:szCs w:val="21"/>
          <w:lang w:val="en-US" w:eastAsia="zh-CN"/>
        </w:rPr>
        <w:t>因图形中变形下的优化未完成</w:t>
      </w:r>
      <w:r>
        <w:rPr>
          <w:rFonts w:hint="eastAsia" w:ascii="宋体" w:hAnsi="宋体" w:eastAsia="宋体" w:cs="宋体"/>
          <w:color w:val="0000FF"/>
          <w:sz w:val="21"/>
          <w:szCs w:val="21"/>
          <w:lang w:eastAsia="zh-CN"/>
        </w:rPr>
        <w:t>）引入。</w:t>
      </w:r>
    </w:p>
    <w:p>
      <w:pPr>
        <w:spacing w:after="156" w:afterLines="50"/>
        <w:ind w:firstLine="401" w:firstLineChars="19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val="en-US" w:eastAsia="zh-CN"/>
        </w:rPr>
        <w:t>结点全刚性连接</w:t>
      </w:r>
      <w:r>
        <w:rPr>
          <w:rFonts w:hint="eastAsia" w:ascii="宋体" w:hAnsi="宋体" w:eastAsia="宋体" w:cs="宋体"/>
          <w:sz w:val="21"/>
          <w:szCs w:val="21"/>
        </w:rPr>
        <w:t>：鼠标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选中结点，修改为全刚性连接</w:t>
      </w:r>
      <w:r>
        <w:rPr>
          <w:rFonts w:hint="eastAsia" w:ascii="宋体" w:hAnsi="宋体" w:eastAsia="宋体" w:cs="宋体"/>
          <w:sz w:val="21"/>
          <w:szCs w:val="21"/>
        </w:rPr>
        <w:t>；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桁架结构任一结点修改后，所有铰结点皆刚性化（见提示）。</w:t>
      </w:r>
    </w:p>
    <w:p>
      <w:pPr>
        <w:spacing w:after="156" w:afterLines="50"/>
        <w:ind w:firstLine="401" w:firstLineChars="19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单元拆分</w:t>
      </w:r>
      <w:r>
        <w:rPr>
          <w:rFonts w:hint="eastAsia" w:ascii="宋体" w:hAnsi="宋体" w:eastAsia="宋体" w:cs="宋体"/>
          <w:sz w:val="21"/>
          <w:szCs w:val="21"/>
        </w:rPr>
        <w:t>：鼠标捕捉杆件，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左键单击时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选定杆的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跨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生成</w:t>
      </w:r>
      <w:r>
        <w:rPr>
          <w:rFonts w:hint="eastAsia" w:ascii="宋体" w:hAnsi="宋体" w:eastAsia="宋体" w:cs="宋体"/>
          <w:sz w:val="21"/>
          <w:szCs w:val="21"/>
        </w:rPr>
        <w:t>新结点，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原单元</w:t>
      </w:r>
      <w:r>
        <w:rPr>
          <w:rFonts w:hint="eastAsia" w:ascii="宋体" w:hAnsi="宋体" w:eastAsia="宋体" w:cs="宋体"/>
          <w:sz w:val="21"/>
          <w:szCs w:val="21"/>
        </w:rPr>
        <w:t>等分为两个单元。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右键单击时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，弹出输入框，</w:t>
      </w:r>
      <w:r>
        <w:rPr>
          <w:rFonts w:hint="eastAsia" w:ascii="宋体" w:hAnsi="宋体" w:eastAsia="宋体" w:cs="宋体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输入大于1小于杆长的正值</w:t>
      </w:r>
      <w:r>
        <w:rPr>
          <w:rFonts w:hint="eastAsia" w:ascii="宋体" w:hAnsi="宋体" w:eastAsia="宋体" w:cs="宋体"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：</w:t>
      </w:r>
      <w:r>
        <w:rPr>
          <w:rFonts w:hint="eastAsia" w:ascii="宋体" w:hAnsi="宋体" w:eastAsia="宋体" w:cs="宋体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从始端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按绝对长度</w:t>
      </w:r>
      <w:r>
        <w:rPr>
          <w:rFonts w:hint="eastAsia" w:ascii="宋体" w:hAnsi="宋体" w:eastAsia="宋体" w:cs="宋体"/>
          <w:b/>
          <w:bCs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拆分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val="en-US" w:eastAsia="zh-CN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scaled="0"/>
            </w14:gradFill>
          </w14:textFill>
        </w:rPr>
        <w:t>输入0~1间数值：会再次要求确定（相对/绝对），再相应拆分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spacing w:after="156" w:afterLines="50"/>
        <w:ind w:firstLine="399" w:firstLineChars="19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单元拆分时，原单元荷载自动分拆并作用至新单元。拆分后的单元性质，继承原单元。</w:t>
      </w:r>
    </w:p>
    <w:p>
      <w:pPr>
        <w:spacing w:after="156" w:afterLines="50"/>
        <w:ind w:firstLine="401" w:firstLineChars="19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指定刚杆</w:t>
      </w:r>
      <w:r>
        <w:rPr>
          <w:rFonts w:hint="eastAsia" w:ascii="宋体" w:hAnsi="宋体" w:eastAsia="宋体" w:cs="宋体"/>
          <w:sz w:val="21"/>
          <w:szCs w:val="21"/>
        </w:rPr>
        <w:t>：鼠标捕捉杆件，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置</w:t>
      </w:r>
      <w:r>
        <w:rPr>
          <w:rFonts w:hint="eastAsia" w:ascii="宋体" w:hAnsi="宋体" w:eastAsia="宋体" w:cs="宋体"/>
          <w:sz w:val="21"/>
          <w:szCs w:val="21"/>
        </w:rPr>
        <w:t>其</w:t>
      </w:r>
      <w:r>
        <w:rPr>
          <w:rFonts w:eastAsia="宋体" w:cs="Times New Roman"/>
          <w:i/>
          <w:iCs/>
          <w:sz w:val="21"/>
          <w:szCs w:val="21"/>
        </w:rPr>
        <w:t>EI</w:t>
      </w:r>
      <w:r>
        <w:rPr>
          <w:rFonts w:hint="eastAsia" w:eastAsia="宋体" w:cs="Times New Roman"/>
          <w:i/>
          <w:iCs/>
          <w:sz w:val="21"/>
          <w:szCs w:val="21"/>
        </w:rPr>
        <w:t>=</w:t>
      </w:r>
      <w:r>
        <w:rPr>
          <w:rFonts w:hint="eastAsia" w:ascii="宋体" w:hAnsi="宋体" w:eastAsia="宋体" w:cs="宋体"/>
          <w:sz w:val="21"/>
          <w:szCs w:val="21"/>
        </w:rPr>
        <w:t>-1，</w:t>
      </w:r>
      <w:r>
        <w:rPr>
          <w:rFonts w:eastAsia="宋体" w:cs="Times New Roman"/>
          <w:i/>
          <w:iCs/>
          <w:sz w:val="21"/>
          <w:szCs w:val="21"/>
        </w:rPr>
        <w:t>EA</w:t>
      </w:r>
      <w:r>
        <w:rPr>
          <w:rFonts w:hint="eastAsia" w:ascii="宋体" w:hAnsi="宋体" w:eastAsia="宋体" w:cs="宋体"/>
          <w:sz w:val="21"/>
          <w:szCs w:val="21"/>
        </w:rPr>
        <w:t>=-1；对链杆则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置</w:t>
      </w:r>
      <w:r>
        <w:rPr>
          <w:rFonts w:hint="eastAsia" w:ascii="宋体" w:hAnsi="宋体" w:eastAsia="宋体" w:cs="宋体"/>
          <w:sz w:val="21"/>
          <w:szCs w:val="21"/>
        </w:rPr>
        <w:t>其</w:t>
      </w:r>
      <w:r>
        <w:rPr>
          <w:rFonts w:eastAsia="宋体" w:cs="Times New Roman"/>
          <w:i/>
          <w:iCs/>
          <w:sz w:val="21"/>
          <w:szCs w:val="21"/>
        </w:rPr>
        <w:t>EA</w:t>
      </w:r>
      <w:r>
        <w:rPr>
          <w:rFonts w:hint="eastAsia" w:ascii="宋体" w:hAnsi="宋体" w:eastAsia="宋体" w:cs="宋体"/>
          <w:sz w:val="21"/>
          <w:szCs w:val="21"/>
        </w:rPr>
        <w:t>=-1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eastAsia="宋体" w:cs="Times New Roman"/>
          <w:i/>
          <w:iCs/>
          <w:sz w:val="21"/>
          <w:szCs w:val="21"/>
          <w:lang w:val="en-US" w:eastAsia="zh-CN"/>
        </w:rPr>
        <w:t>EI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仍为0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after="156" w:afterLines="50"/>
        <w:ind w:firstLine="401" w:firstLineChars="19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val="en-US" w:eastAsia="zh-CN"/>
        </w:rPr>
        <w:t>交叉杆拆分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：连续捕捉两交叉杆，系统在两轴线交点处对两杆拆分。</w:t>
      </w:r>
    </w:p>
    <w:p>
      <w:pPr>
        <w:spacing w:after="156" w:afterLines="50"/>
        <w:ind w:firstLine="401" w:firstLineChars="19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val="en-US" w:eastAsia="zh-CN"/>
        </w:rPr>
        <w:t>多单元选择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对删除单元和修改截面刚度功能，可使用“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多单元选择”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。其余功能尚未开放多单元选择。</w:t>
      </w:r>
    </w:p>
    <w:p>
      <w:pPr>
        <w:spacing w:after="156" w:afterLines="50"/>
        <w:ind w:left="1680" w:leftChars="800" w:firstLine="7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在“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多单元选择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”复选框被选中状态，先使用鼠标框选多个单元，目前只能框选，不能单击选择。</w:t>
      </w:r>
    </w:p>
    <w:p>
      <w:pPr>
        <w:spacing w:after="156" w:afterLines="50"/>
        <w:ind w:left="1680" w:leftChars="800" w:firstLine="7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捕捉框从左向右选择时（实线捕捉框），仅杆件整体全在捕捉框的对象才被选中；</w:t>
      </w:r>
    </w:p>
    <w:p>
      <w:pPr>
        <w:spacing w:after="156" w:afterLines="50"/>
        <w:ind w:left="1680" w:leftChars="800" w:firstLine="7" w:firstLineChars="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捕捉框从右向左选择时（虚线捕捉框），除框内完全包含的对象外，与捕捉框线相交的杆件对象也将被选中。</w:t>
      </w:r>
    </w:p>
    <w:p>
      <w:pPr>
        <w:spacing w:after="156" w:afterLines="50"/>
        <w:ind w:left="1680" w:leftChars="800" w:firstLine="7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2947" w:space="427"/>
            <w:col w:w="10584"/>
          </w:cols>
          <w:docGrid w:type="lines" w:linePitch="312" w:charSpace="0"/>
        </w:sectPr>
      </w:pPr>
    </w:p>
    <w:p>
      <w:pPr>
        <w:spacing w:after="156" w:afterLines="50"/>
        <w:ind w:left="1680" w:leftChars="800" w:firstLine="7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选中单元变为兰色，可多次框选，重复选中的对象，从选择集中去除。</w:t>
      </w:r>
    </w:p>
    <w:p>
      <w:pPr>
        <w:spacing w:after="156" w:afterLines="50"/>
        <w:ind w:left="1680" w:leftChars="800" w:firstLine="7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最后点击“删除单元”或“修改截面刚度”，对所选择的多个对象，同时执行删除或刚度设置。</w:t>
      </w:r>
    </w:p>
    <w:p>
      <w:pPr>
        <w:spacing w:after="156" w:afterLines="50"/>
        <w:ind w:firstLine="401" w:firstLineChars="19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before="156" w:beforeLines="50" w:after="156" w:afterLines="5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支座修改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鼠标捕捉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结点</w:t>
      </w:r>
      <w:r>
        <w:rPr>
          <w:rFonts w:hint="eastAsia" w:ascii="宋体" w:hAnsi="宋体" w:eastAsia="宋体" w:cs="宋体"/>
          <w:sz w:val="21"/>
          <w:szCs w:val="21"/>
        </w:rPr>
        <w:t>；可在平面三个自由度选择约束形式；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支座定型后，可继续设置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或修改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弹性支座刚度系数，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弹性系数可设置为“-1”（刚性），或任一“正值”（弹性），不能设置0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即不能在“弹性支座”设置中，修改支座类型。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【注意】结构参数带符号时，弹性支座的刚度系数也会带上相应的符号，由于支座显示位置略小，目前还在调整如何显示效果才相对优化，弹性支座的刚度系数值暂无显示。</w:t>
      </w:r>
    </w:p>
    <w:p>
      <w:pPr>
        <w:spacing w:after="156" w:afterLines="50"/>
        <w:ind w:firstLine="399" w:firstLineChars="19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【说明】弹性支座的约束性质，在几何分析时，与刚性支座等效。带弹性支座的体系，进入几何分析时，会自动替换为对应的刚性支座。</w:t>
      </w:r>
    </w:p>
    <w:p>
      <w:pPr>
        <w:spacing w:before="156" w:beforeLines="50" w:after="156" w:afterLines="5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结点修改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坐标调整：调整结点绝对坐标值或相对坐标值。取值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服从结构坐标系统，</w:t>
      </w:r>
      <w:r>
        <w:rPr>
          <w:rFonts w:hint="eastAsia" w:ascii="宋体" w:hAnsi="宋体" w:eastAsia="宋体" w:cs="宋体"/>
          <w:sz w:val="21"/>
          <w:szCs w:val="21"/>
        </w:rPr>
        <w:t>以水平向右、竖直向下为正；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ind w:firstLine="0" w:firstLineChars="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7" w:num="2" w:sep="1"/>
          <w:docGrid w:type="lines" w:linePitch="312" w:charSpace="0"/>
        </w:sectPr>
      </w:pP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13"/>
        <w:numPr>
          <w:ilvl w:val="0"/>
          <w:numId w:val="9"/>
        </w:numPr>
        <w:spacing w:after="156" w:afterLines="50"/>
        <w:ind w:firstLineChars="0"/>
        <w:rPr>
          <w:rFonts w:ascii="宋体" w:hAnsi="宋体" w:eastAsia="宋体" w:cs="宋体"/>
          <w:sz w:val="21"/>
          <w:szCs w:val="21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2947" w:space="427"/>
            <w:col w:w="10584"/>
          </w:cols>
          <w:docGrid w:type="lines" w:linePitch="312" w:charSpace="0"/>
        </w:sectPr>
      </w:pPr>
    </w:p>
    <w:p>
      <w:pPr>
        <w:numPr>
          <w:ilvl w:val="0"/>
          <w:numId w:val="7"/>
        </w:numPr>
        <w:spacing w:after="156" w:afterLines="50"/>
        <w:ind w:firstLine="0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荷载</w:t>
      </w: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textAlignment w:val="top"/>
      </w:pPr>
      <w:r>
        <w:drawing>
          <wp:inline distT="0" distB="0" distL="114300" distR="114300">
            <wp:extent cx="1743710" cy="1684655"/>
            <wp:effectExtent l="0" t="0" r="8890" b="1079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972310" cy="3952875"/>
            <wp:effectExtent l="0" t="0" r="8890" b="952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 w:firstLineChars="200"/>
        <w:jc w:val="center"/>
        <w:rPr>
          <w:rFonts w:cs="Times New Roman"/>
          <w:sz w:val="24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6</w:t>
      </w:r>
      <w:r>
        <w:rPr>
          <w:rFonts w:hint="eastAsia" w:cs="Times New Roman"/>
          <w:sz w:val="24"/>
        </w:rPr>
        <w:t>. 荷载输入选项卡</w:t>
      </w:r>
    </w:p>
    <w:p>
      <w:pPr>
        <w:pStyle w:val="13"/>
        <w:spacing w:after="156" w:afterLines="50"/>
        <w:ind w:firstLine="48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提供</w:t>
      </w:r>
      <w:r>
        <w:rPr>
          <w:rFonts w:hint="eastAsia" w:ascii="宋体" w:hAnsi="宋体" w:eastAsia="宋体" w:cs="宋体"/>
          <w:b/>
          <w:bCs/>
          <w:color w:val="C00000"/>
          <w:sz w:val="21"/>
          <w:szCs w:val="21"/>
        </w:rPr>
        <w:t>结点荷载</w:t>
      </w:r>
      <w:r>
        <w:rPr>
          <w:rFonts w:hint="eastAsia" w:ascii="宋体" w:hAnsi="宋体" w:eastAsia="宋体" w:cs="宋体"/>
          <w:sz w:val="21"/>
          <w:szCs w:val="21"/>
        </w:rPr>
        <w:t>与</w:t>
      </w:r>
      <w:r>
        <w:rPr>
          <w:rFonts w:hint="eastAsia" w:ascii="宋体" w:hAnsi="宋体" w:eastAsia="宋体" w:cs="宋体"/>
          <w:b/>
          <w:bCs/>
          <w:color w:val="C00000"/>
          <w:sz w:val="21"/>
          <w:szCs w:val="21"/>
        </w:rPr>
        <w:t>单元荷载</w:t>
      </w:r>
      <w:r>
        <w:rPr>
          <w:rFonts w:hint="eastAsia" w:ascii="宋体" w:hAnsi="宋体" w:eastAsia="宋体" w:cs="宋体"/>
          <w:sz w:val="21"/>
          <w:szCs w:val="21"/>
        </w:rPr>
        <w:t>两种荷载类型输入。选择荷载类型后，在弹出的荷载参数框中输入相应参数。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对带符号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val="en-US" w:eastAsia="zh-CN"/>
        </w:rPr>
        <w:t>者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，只需要输入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eastAsia="zh-CN"/>
        </w:rPr>
        <w:t>系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数，系统自动附加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  <w:lang w:eastAsia="zh-CN"/>
        </w:rPr>
        <w:t>相</w:t>
      </w:r>
      <w:r>
        <w:rPr>
          <w:rFonts w:hint="eastAsia" w:ascii="宋体" w:hAnsi="宋体" w:eastAsia="宋体" w:cs="宋体"/>
          <w:b/>
          <w:bCs/>
          <w:color w:val="00B0F0"/>
          <w:sz w:val="21"/>
          <w:szCs w:val="21"/>
        </w:rPr>
        <w:t>应符号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pStyle w:val="13"/>
        <w:numPr>
          <w:ilvl w:val="0"/>
          <w:numId w:val="10"/>
        </w:numPr>
        <w:spacing w:after="156" w:afterLines="50"/>
        <w:ind w:firstLineChars="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结点荷载</w:t>
      </w:r>
    </w:p>
    <w:p>
      <w:pPr>
        <w:spacing w:after="156" w:afterLines="50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结点荷载只能在整体坐标方向上施加。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斜向荷载需分解至整体坐标并分别施加（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直加斜荷载待后续版本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）。</w:t>
      </w:r>
    </w:p>
    <w:p>
      <w:pPr>
        <w:spacing w:after="156" w:afterLines="50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支座约束方向施加的结点荷载会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视为支移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spacing w:after="156" w:afterLines="50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若需要在支座约束方向施加“力”，可使用“单元荷载“的方式（位置参数取为0、或1）</w:t>
      </w:r>
    </w:p>
    <w:p>
      <w:pPr>
        <w:pStyle w:val="13"/>
        <w:numPr>
          <w:ilvl w:val="0"/>
          <w:numId w:val="10"/>
        </w:numPr>
        <w:spacing w:after="156" w:afterLines="50"/>
        <w:ind w:firstLineChars="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单元荷载</w:t>
      </w:r>
    </w:p>
    <w:p>
      <w:pPr>
        <w:spacing w:after="156" w:afterLines="50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选择荷载类型为单元荷载后，在输入框输入相应参数，再由鼠标捕捉相应杆件，可在弹出框中修改荷载方向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正负值调整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其它</w:t>
      </w:r>
      <w:r>
        <w:rPr>
          <w:rFonts w:hint="eastAsia" w:ascii="宋体" w:hAnsi="宋体" w:eastAsia="宋体" w:cs="宋体"/>
          <w:sz w:val="21"/>
          <w:szCs w:val="21"/>
        </w:rPr>
        <w:t>参数。</w:t>
      </w:r>
    </w:p>
    <w:p>
      <w:pPr>
        <w:spacing w:after="156" w:afterLines="50"/>
        <w:ind w:firstLine="422" w:firstLineChars="200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单元方向规定：非竖直杆件，以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u w:val="single"/>
          <w:lang w:eastAsia="zh-CN"/>
        </w:rPr>
        <w:t>左端结点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为单元始端；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/>
        <w:ind w:left="0" w:leftChars="0" w:firstLine="2108" w:firstLineChars="10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竖直杆件，以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u w:val="single"/>
          <w:lang w:eastAsia="zh-CN"/>
        </w:rPr>
        <w:t>下端结点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为单元始端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spacing w:after="156" w:afterLines="50"/>
        <w:ind w:left="0" w:leftChars="0" w:firstLine="369" w:firstLineChars="175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【注意】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如果后续操作调整结点坐标，单元方向会根据结点坐标变化后的单元特征进行自动更新，发生改变后，应注意已施加单元荷载方向是否符合预期。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各类单元荷载及其正向约定见附表1。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同类单元荷载位置重叠时，系统自动叠加和拆解。</w:t>
      </w:r>
    </w:p>
    <w:p>
      <w:pPr>
        <w:spacing w:after="156" w:afterLines="50"/>
        <w:ind w:firstLine="399" w:firstLineChars="19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【说明】“结点/单元荷载删除”复选框选中时，不能进行其它操作，需要将此框选取消，才能进入荷载输入。</w:t>
      </w:r>
    </w:p>
    <w:p>
      <w:pPr>
        <w:pStyle w:val="13"/>
        <w:numPr>
          <w:ilvl w:val="0"/>
          <w:numId w:val="10"/>
        </w:numPr>
        <w:spacing w:after="156" w:afterLines="50"/>
        <w:ind w:firstLineChars="0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结点和单元质量</w:t>
      </w:r>
    </w:p>
    <w:p>
      <w:pPr>
        <w:spacing w:after="156" w:afterLines="50"/>
        <w:ind w:firstLine="399" w:firstLineChars="19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添加的结点质量只包括相对于X、Y两主轴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等同</w:t>
      </w:r>
      <w:r>
        <w:rPr>
          <w:rFonts w:hint="eastAsia" w:ascii="宋体" w:hAnsi="宋体" w:eastAsia="宋体" w:cs="宋体"/>
          <w:sz w:val="21"/>
          <w:szCs w:val="21"/>
        </w:rPr>
        <w:t>的平动质量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独立添加三自由度方向（含转动质量）待开放】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单元分布线质量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可</w:t>
      </w:r>
      <w:r>
        <w:rPr>
          <w:rFonts w:hint="eastAsia" w:ascii="宋体" w:hAnsi="宋体" w:eastAsia="宋体" w:cs="宋体"/>
          <w:sz w:val="21"/>
          <w:szCs w:val="21"/>
        </w:rPr>
        <w:t>按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</w:rPr>
        <w:t>集中质量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b/>
          <w:bCs/>
          <w:color w:val="0000FF"/>
          <w:sz w:val="21"/>
          <w:szCs w:val="21"/>
        </w:rPr>
        <w:t>一致质量</w:t>
      </w:r>
      <w:r>
        <w:rPr>
          <w:rFonts w:hint="eastAsia" w:ascii="宋体" w:hAnsi="宋体" w:eastAsia="宋体" w:cs="宋体"/>
          <w:sz w:val="21"/>
          <w:szCs w:val="21"/>
        </w:rPr>
        <w:t>两种模式集成。</w:t>
      </w:r>
    </w:p>
    <w:p>
      <w:pPr>
        <w:spacing w:after="156" w:afterLines="50"/>
        <w:ind w:left="0" w:leftChars="0" w:firstLine="369" w:firstLineChars="175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  <w:t>【说明】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对于简单模型中、无穷抗弯刚度的刚性杆，存在均匀分布质量时，对此质量描述建议使用一致质量模式，可获取符合常规预期分析结果。</w:t>
      </w:r>
    </w:p>
    <w:p>
      <w:pPr>
        <w:spacing w:after="156" w:afterLines="50"/>
        <w:ind w:firstLine="399" w:firstLineChars="190"/>
        <w:rPr>
          <w:rFonts w:hint="eastAsia" w:ascii="宋体" w:hAnsi="宋体" w:eastAsia="宋体" w:cs="宋体"/>
          <w:sz w:val="21"/>
          <w:szCs w:val="21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089" w:space="425"/>
            <w:col w:w="7444"/>
          </w:cols>
          <w:docGrid w:type="lines" w:linePitch="312" w:charSpace="0"/>
        </w:sectPr>
      </w:pPr>
    </w:p>
    <w:p>
      <w:pPr>
        <w:numPr>
          <w:ilvl w:val="0"/>
          <w:numId w:val="7"/>
        </w:numPr>
        <w:spacing w:after="156" w:afterLines="50"/>
        <w:ind w:firstLine="0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其他结构建模</w:t>
      </w:r>
    </w:p>
    <w:p>
      <w:pPr>
        <w:pStyle w:val="13"/>
        <w:spacing w:after="156" w:afterLines="50"/>
        <w:ind w:firstLine="0" w:firstLineChars="0"/>
        <w:textAlignment w:val="top"/>
        <w:rPr>
          <w:rFonts w:ascii="宋体" w:hAnsi="宋体" w:eastAsia="宋体" w:cs="宋体"/>
          <w:sz w:val="24"/>
        </w:rPr>
      </w:pPr>
      <w:r>
        <w:rPr>
          <w:sz w:val="24"/>
        </w:rPr>
        <w:drawing>
          <wp:inline distT="0" distB="0" distL="114300" distR="114300">
            <wp:extent cx="1276350" cy="1667510"/>
            <wp:effectExtent l="0" t="0" r="0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</w:t>
      </w:r>
      <w:r>
        <w:rPr>
          <w:sz w:val="24"/>
        </w:rPr>
        <w:drawing>
          <wp:inline distT="0" distB="0" distL="114300" distR="114300">
            <wp:extent cx="1249045" cy="1607185"/>
            <wp:effectExtent l="0" t="0" r="8255" b="1206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center"/>
        <w:rPr>
          <w:sz w:val="24"/>
        </w:rPr>
      </w:pPr>
      <w:r>
        <w:rPr>
          <w:rFonts w:hint="eastAsia"/>
          <w:sz w:val="24"/>
        </w:rPr>
        <w:t xml:space="preserve">（a）三铰拱 </w:t>
      </w:r>
      <w:r>
        <w:rPr>
          <w:sz w:val="24"/>
        </w:rPr>
        <w:t xml:space="preserve">      </w:t>
      </w:r>
      <w:r>
        <w:rPr>
          <w:rFonts w:hint="eastAsia"/>
          <w:sz w:val="24"/>
        </w:rPr>
        <w:t>（b）无铰拱</w:t>
      </w:r>
    </w:p>
    <w:p>
      <w:pPr>
        <w:jc w:val="center"/>
        <w:rPr>
          <w:color w:val="FF0000"/>
          <w:sz w:val="24"/>
          <w:highlight w:val="yellow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7</w:t>
      </w:r>
      <w:r>
        <w:rPr>
          <w:rFonts w:hint="eastAsia" w:cs="Times New Roman"/>
          <w:sz w:val="24"/>
        </w:rPr>
        <w:t>. 拱的交互辅助建模</w:t>
      </w: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spacing w:after="156" w:afterLines="50"/>
        <w:ind w:firstLine="0" w:firstLineChars="0"/>
        <w:rPr>
          <w:rFonts w:ascii="宋体" w:hAnsi="宋体" w:eastAsia="宋体" w:cs="宋体"/>
          <w:sz w:val="24"/>
        </w:rPr>
      </w:pPr>
    </w:p>
    <w:p>
      <w:pPr>
        <w:pStyle w:val="13"/>
        <w:numPr>
          <w:ilvl w:val="0"/>
          <w:numId w:val="11"/>
        </w:numPr>
        <w:spacing w:after="156" w:afterLines="50"/>
        <w:ind w:firstLineChars="0"/>
        <w:rPr>
          <w:rFonts w:ascii="宋体" w:hAnsi="宋体" w:eastAsia="宋体" w:cs="宋体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3876675</wp:posOffset>
                </wp:positionH>
                <wp:positionV relativeFrom="paragraph">
                  <wp:posOffset>62230</wp:posOffset>
                </wp:positionV>
                <wp:extent cx="579755" cy="400050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20"/>
                                <w:lang w:val="en-US" w:eastAsia="zh-CN"/>
                              </w:rPr>
                              <w:t>圆弧拱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25pt;margin-top:4.9pt;height:31.5pt;width:45.65pt;z-index:251693056;mso-width-relative:page;mso-height-relative:page;" filled="f" stroked="f" coordsize="21600,21600" o:gfxdata="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lJNJNgAAAAIAQAADwAAAAAAAAABACAAAAAiAAAAZHJz&#10;L2Rvd25yZXYueG1sUEsBAhQAFAAAAAgAh07iQCl2kIo9AgAAaQ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6"/>
                          <w:szCs w:val="20"/>
                          <w:lang w:val="en-US" w:eastAsia="zh-CN"/>
                        </w:rPr>
                        <w:t>圆弧拱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264160</wp:posOffset>
                </wp:positionV>
                <wp:extent cx="1523365" cy="1460500"/>
                <wp:effectExtent l="0" t="34290" r="0" b="0"/>
                <wp:wrapNone/>
                <wp:docPr id="178" name="弧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0000">
                          <a:off x="8416290" y="1145540"/>
                          <a:ext cx="1523365" cy="1460500"/>
                        </a:xfrm>
                        <a:prstGeom prst="arc">
                          <a:avLst>
                            <a:gd name="adj1" fmla="val 16200000"/>
                            <a:gd name="adj2" fmla="val 250385"/>
                          </a:avLst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09.3pt;margin-top:20.8pt;height:115pt;width:119.95pt;rotation:-2883584f;z-index:251687936;mso-width-relative:page;mso-height-relative:page;" filled="f" stroked="t" coordsize="1523365,1460500" o:gfxdata="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2QGAA9cAAAAKAQAA&#10;DwAAAAAAAAABACAAAAAiAAAAZHJzL2Rvd25yZXYueG1sUEsBAhQAFAAAAAgAh07iQAYbDe0aAgAA&#10;IgQAAA4AAAAAAAAAAQAgAAAAJgEAAGRycy9lMm9Eb2MueG1sUEsFBgAAAAAGAAYAWQEAALIFAAAA&#10;AA==&#10;" path="m761682,0nsc1182347,0,1523364,326944,1523364,730250c1523364,748971,1522629,767527,1521201,785705l761682,730250xem761682,0nfc1182347,0,1523364,326944,1523364,730250c1523364,748971,1522629,767527,1521201,785705e">
                <v:path o:connectlocs="761682,0;761682,730250;1521168,785664" o:connectangles="164,125,86"/>
                <v:fill on="f" focussize="0,0"/>
                <v:stroke weight="3pt" color="#ED7D3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-298450</wp:posOffset>
                </wp:positionV>
                <wp:extent cx="1746250" cy="1436370"/>
                <wp:effectExtent l="0" t="0" r="6350" b="11430"/>
                <wp:wrapSquare wrapText="bothSides"/>
                <wp:docPr id="177" name="矩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59420" y="1122045"/>
                          <a:ext cx="1746250" cy="1436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45pt;margin-top:-23.5pt;height:113.1pt;width:137.5pt;mso-wrap-distance-bottom:0pt;mso-wrap-distance-left:9pt;mso-wrap-distance-right:9pt;mso-wrap-distance-top:0pt;z-index:251686912;v-text-anchor:middle;mso-width-relative:page;mso-height-relative:page;" fillcolor="#FFFFFF [3212]" filled="t" stroked="f" coordsize="21600,21600" o:gfxdata="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72ojs2AAAAAsBAAAPAAAAAAAAAAEAIAAAACIA&#10;AABkcnMvZG93bnJldi54bWxQSwECFAAUAAAACACHTuJAY66wOnsCAADdBAAADgAAAAAAAAABACAA&#10;AAAnAQAAZHJzL2Uyb0RvYy54bWxQSwUGAAAAAAYABgBZAQAAFAYAAAAA&#10;">
                <v:fill on="t" focussize="0,0"/>
                <v:stroke on="f" weight="1pt" miterlimit="8" joinstyle="miter" dashstyle="1 1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hint="eastAsia"/>
          <w:b/>
          <w:bCs/>
          <w:sz w:val="21"/>
          <w:szCs w:val="21"/>
        </w:rPr>
        <w:t>三铰拱</w:t>
      </w:r>
    </w:p>
    <w:p>
      <w:pPr>
        <w:spacing w:after="156" w:afterLines="50"/>
        <w:ind w:firstLine="420" w:firstLineChars="200"/>
        <w:jc w:val="left"/>
        <w:rPr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4535170</wp:posOffset>
                </wp:positionH>
                <wp:positionV relativeFrom="paragraph">
                  <wp:posOffset>240665</wp:posOffset>
                </wp:positionV>
                <wp:extent cx="579755" cy="400050"/>
                <wp:effectExtent l="0" t="0" r="0" b="0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717915" y="1630045"/>
                          <a:ext cx="57975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&lt;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1"/>
                                <w:szCs w:val="21"/>
                                <w:lang w:eastAsia="zh-CN"/>
                              </w:rPr>
                              <w:t>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1pt;margin-top:18.95pt;height:31.5pt;width:45.65pt;z-index:251692032;mso-width-relative:page;mso-height-relative:page;" filled="f" stroked="f" coordsize="21600,21600" o:gfxdata="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MsLC22wAAAAoBAAAPAAAAAAAA&#10;AAEAIAAAACIAAABkcnMvZG93bnJldi54bWxQSwECFAAUAAAACACHTuJAbvuI7UgCAAB1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&lt; 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1"/>
                          <w:szCs w:val="21"/>
                          <w:lang w:eastAsia="zh-CN"/>
                        </w:rPr>
                        <w:t>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507365</wp:posOffset>
                </wp:positionV>
                <wp:extent cx="229870" cy="229870"/>
                <wp:effectExtent l="3175" t="3175" r="14605" b="14605"/>
                <wp:wrapNone/>
                <wp:docPr id="180" name="直接连接符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8853170" y="1649730"/>
                          <a:ext cx="229870" cy="229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72.45pt;margin-top:39.95pt;height:18.1pt;width:18.1pt;z-index:251689984;mso-width-relative:page;mso-height-relative:page;" filled="f" stroked="t" coordsize="21600,21600" o:gfxdata="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cDATY2QAAAAoBAAAPAAAAAAAAAAEAIAAAACIAAABkcnMvZG93&#10;bnJldi54bWxQSwECFAAUAAAACACHTuJAcokK8f8BAADPAwAADgAAAAAAAAABACAAAAAoAQAAZHJz&#10;L2Uyb0RvYy54bWxQSwUGAAAAAAYABgBZAQAAmQ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467360</wp:posOffset>
                </wp:positionV>
                <wp:extent cx="262255" cy="262255"/>
                <wp:effectExtent l="3175" t="3175" r="20320" b="20320"/>
                <wp:wrapNone/>
                <wp:docPr id="179" name="直接连接符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305800" y="1612265"/>
                          <a:ext cx="262255" cy="262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1.8pt;margin-top:36.8pt;height:20.65pt;width:20.65pt;z-index:251688960;mso-width-relative:page;mso-height-relative:page;" filled="f" stroked="t" coordsize="21600,21600" o:gfxdata="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ExA5F2QAAAAoBAAAPAAAAAAAAAAEAIAAAACIAAABkcnMvZG93bnJldi54&#10;bWxQSwECFAAUAAAACACHTuJAPC8Y+PkBAADFAwAADgAAAAAAAAABACAAAAAoAQAAZHJzL2Uyb0Rv&#10;Yy54bWxQSwUGAAAAAAYABgBZAQAAk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1"/>
          <w:szCs w:val="21"/>
          <w:lang w:eastAsia="zh-CN"/>
        </w:rPr>
        <w:t>系统中，三铰拱模型</w:t>
      </w:r>
      <w:r>
        <w:rPr>
          <w:rFonts w:hint="eastAsia"/>
          <w:sz w:val="21"/>
          <w:szCs w:val="21"/>
        </w:rPr>
        <w:t>只</w:t>
      </w:r>
      <w:r>
        <w:rPr>
          <w:rFonts w:hint="eastAsia"/>
          <w:sz w:val="21"/>
          <w:szCs w:val="21"/>
          <w:lang w:eastAsia="zh-CN"/>
        </w:rPr>
        <w:t>能作用</w:t>
      </w:r>
      <w:r>
        <w:rPr>
          <w:rFonts w:hint="eastAsia"/>
          <w:sz w:val="21"/>
          <w:szCs w:val="21"/>
        </w:rPr>
        <w:t>竖向荷载。</w:t>
      </w:r>
    </w:p>
    <w:p>
      <w:pPr>
        <w:spacing w:after="156" w:afterLines="50"/>
        <w:ind w:firstLine="420" w:firstLineChars="200"/>
        <w:jc w:val="left"/>
        <w:rPr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217805</wp:posOffset>
                </wp:positionV>
                <wp:extent cx="687070" cy="515620"/>
                <wp:effectExtent l="0" t="69850" r="0" b="0"/>
                <wp:wrapNone/>
                <wp:docPr id="181" name="弧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0000">
                          <a:off x="0" y="0"/>
                          <a:ext cx="687070" cy="515620"/>
                        </a:xfrm>
                        <a:prstGeom prst="arc">
                          <a:avLst>
                            <a:gd name="adj1" fmla="val 17356462"/>
                            <a:gd name="adj2" fmla="val 250385"/>
                          </a:avLst>
                        </a:prstGeom>
                        <a:ln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38.45pt;margin-top:17.15pt;height:40.6pt;width:54.1pt;rotation:-2883584f;z-index:251691008;mso-width-relative:page;mso-height-relative:page;" filled="f" stroked="t" coordsize="687070,515620" o:gfxdata="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JBzlDNoAAAAKAQAADwAAAAAAAAABACAAAAAiAAAAZHJzL2Rvd25yZXYueG1s&#10;UEsBAhQAFAAAAAgAh07iQABZ+qQvAgAAaQQAAA4AAAAAAAAAAQAgAAAAKQEAAGRycy9lMm9Eb2Mu&#10;eG1sUEsFBgAAAAAGAAYAWQEAAMoFAAAAAA==&#10;" path="m430736,8443nsc578318,37416,687069,138082,687069,257809c687069,266258,686527,274612,685479,282778l343535,257810xem430736,8443nfc578318,37416,687069,138082,687069,257809c687069,266258,686527,274612,685479,282778e">
                <v:path o:connectlocs="430736,8443;343535,257810;685457,282757" o:connectangles="182,134,86"/>
                <v:fill on="f" focussize="0,0"/>
                <v:stroke weight="0.5pt" color="#5B9BD5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1"/>
          <w:szCs w:val="21"/>
        </w:rPr>
        <w:t>根据输入的三铰坐标，系统按</w:t>
      </w:r>
      <w:r>
        <w:rPr>
          <w:rFonts w:hint="eastAsia"/>
          <w:sz w:val="21"/>
          <w:szCs w:val="21"/>
          <w:lang w:val="en-US" w:eastAsia="zh-CN"/>
        </w:rPr>
        <w:t>指定的</w:t>
      </w:r>
      <w:r>
        <w:rPr>
          <w:rFonts w:hint="eastAsia"/>
          <w:b/>
          <w:bCs/>
          <w:color w:val="00B0F0"/>
          <w:sz w:val="21"/>
          <w:szCs w:val="21"/>
        </w:rPr>
        <w:t>抛物线</w:t>
      </w:r>
      <w:r>
        <w:rPr>
          <w:rFonts w:hint="eastAsia"/>
          <w:sz w:val="21"/>
          <w:szCs w:val="21"/>
        </w:rPr>
        <w:t>或</w:t>
      </w:r>
      <w:r>
        <w:rPr>
          <w:rFonts w:hint="eastAsia"/>
          <w:b/>
          <w:bCs/>
          <w:color w:val="00B0F0"/>
          <w:sz w:val="21"/>
          <w:szCs w:val="21"/>
        </w:rPr>
        <w:t>圆弧</w:t>
      </w:r>
      <w:r>
        <w:rPr>
          <w:rFonts w:hint="eastAsia"/>
          <w:sz w:val="21"/>
          <w:szCs w:val="21"/>
        </w:rPr>
        <w:t>确定拱轴曲线。</w:t>
      </w:r>
    </w:p>
    <w:p>
      <w:pPr>
        <w:spacing w:after="156" w:afterLines="50"/>
        <w:ind w:firstLine="420" w:firstLineChars="200"/>
        <w:jc w:val="left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按圆弧曲线考虑时，三点坐标只能位于半圆弧内</w:t>
      </w:r>
      <w:r>
        <w:rPr>
          <w:rFonts w:hint="eastAsia"/>
          <w:sz w:val="21"/>
          <w:szCs w:val="21"/>
          <w:lang w:eastAsia="zh-CN"/>
        </w:rPr>
        <w:t>（三点连接形成圆弧小于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π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。</w:t>
      </w:r>
    </w:p>
    <w:p>
      <w:pPr>
        <w:pStyle w:val="13"/>
        <w:numPr>
          <w:ilvl w:val="0"/>
          <w:numId w:val="11"/>
        </w:numPr>
        <w:spacing w:after="156" w:afterLines="50"/>
        <w:ind w:firstLineChars="0"/>
        <w:rPr>
          <w:rFonts w:ascii="宋体" w:hAnsi="宋体" w:eastAsia="宋体" w:cs="宋体"/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带拉杆静定</w:t>
      </w:r>
      <w:r>
        <w:rPr>
          <w:rFonts w:hint="eastAsia"/>
          <w:b/>
          <w:bCs/>
          <w:sz w:val="21"/>
          <w:szCs w:val="21"/>
        </w:rPr>
        <w:t>拱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（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暂未开放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）</w:t>
      </w:r>
    </w:p>
    <w:p>
      <w:pPr>
        <w:spacing w:after="156" w:afterLines="50"/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252095</wp:posOffset>
            </wp:positionV>
            <wp:extent cx="2269490" cy="1038860"/>
            <wp:effectExtent l="0" t="0" r="16510" b="8890"/>
            <wp:wrapSquare wrapText="bothSides"/>
            <wp:docPr id="1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9"/>
                    <pic:cNvPicPr>
                      <a:picLocks noChangeAspect="1"/>
                    </pic:cNvPicPr>
                  </pic:nvPicPr>
                  <pic:blipFill>
                    <a:blip r:embed="rId59"/>
                    <a:srcRect r="16676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  <w:lang w:val="en-US" w:eastAsia="zh-CN"/>
        </w:rPr>
        <w:t>复选“带拉杆静定拱”，可在拉杆定位文本框中，输入拉杆两端点相对于左右支座长度值x1,x2（均为正值，且不能过中铰）。系统根据当前拱轴曲线，自动定位拉杆端点的高度坐标。</w:t>
      </w:r>
    </w:p>
    <w:p>
      <w:pPr>
        <w:spacing w:after="156" w:afterLines="50"/>
        <w:ind w:firstLine="420" w:firstLineChars="20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带拉杆静定拱形式同三铰拱，支座为简支。</w:t>
      </w:r>
    </w:p>
    <w:p>
      <w:pPr>
        <w:jc w:val="center"/>
        <w:textAlignment w:val="center"/>
        <w:rPr>
          <w:rFonts w:ascii="宋体" w:hAnsi="宋体" w:eastAsia="宋体" w:cs="宋体"/>
          <w:sz w:val="21"/>
          <w:szCs w:val="21"/>
        </w:rPr>
      </w:pPr>
      <w:r>
        <w:rPr>
          <w:sz w:val="21"/>
          <w:szCs w:val="21"/>
        </w:rPr>
        <w:t xml:space="preserve"> </w:t>
      </w:r>
    </w:p>
    <w:p>
      <w:pPr>
        <w:numPr>
          <w:ilvl w:val="0"/>
          <w:numId w:val="11"/>
        </w:numPr>
        <w:spacing w:after="156" w:afterLines="50"/>
        <w:jc w:val="left"/>
        <w:rPr>
          <w:b/>
          <w:bCs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44450</wp:posOffset>
                </wp:positionV>
                <wp:extent cx="434340" cy="356235"/>
                <wp:effectExtent l="0" t="0" r="3810" b="5715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23100" y="4011295"/>
                          <a:ext cx="43434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4pt;margin-top:3.5pt;height:28.05pt;width:34.2pt;z-index:251683840;mso-width-relative:page;mso-height-relative:page;" filled="f" stroked="f" coordsize="21600,21600" o:gfxdata="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WLyB/ZAAAACAEAAA8AAAAAAAAA&#10;AQAgAAAAIgAAAGRycy9kb3ducmV2LnhtbFBLAQIUABQAAAAIAIdO4kC98oB/SQIAAHU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  <w:t>x1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45720</wp:posOffset>
                </wp:positionV>
                <wp:extent cx="434340" cy="356235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4pt;margin-top:3.6pt;height:28.05pt;width:34.2pt;z-index:251684864;mso-width-relative:page;mso-height-relative:page;" filled="f" stroked="f" coordsize="21600,21600" o:gfxdata="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kTH7baAAAACAEAAA8AAAAAAAAAAQAgAAAAIgAAAGRy&#10;cy9kb3ducmV2LnhtbFBLAQIUABQAAAAIAIdO4kAw4W5u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1"/>
          <w:szCs w:val="21"/>
        </w:rPr>
        <w:t>无铰拱</w:t>
      </w:r>
    </w:p>
    <w:p>
      <w:pPr>
        <w:spacing w:after="156" w:afterLines="50"/>
        <w:ind w:firstLine="420" w:firstLineChars="200"/>
        <w:jc w:val="left"/>
        <w:rPr>
          <w:rFonts w:hint="default" w:eastAsiaTheme="minorEastAsia"/>
          <w:color w:val="0000FF"/>
          <w:sz w:val="21"/>
          <w:szCs w:val="21"/>
          <w:u w:val="wave"/>
          <w:lang w:val="en-US" w:eastAsia="zh-CN"/>
        </w:rPr>
      </w:pPr>
      <w:r>
        <w:rPr>
          <w:rFonts w:hint="eastAsia"/>
          <w:color w:val="0000FF"/>
          <w:sz w:val="21"/>
          <w:szCs w:val="21"/>
          <w:u w:val="wave"/>
          <w:lang w:val="en-US" w:eastAsia="zh-CN"/>
        </w:rPr>
        <w:t>无铰拱模块暂未作过多调试，模型不能存贮，仅作即时演示使用</w:t>
      </w:r>
    </w:p>
    <w:p>
      <w:pPr>
        <w:spacing w:after="156" w:afterLines="50"/>
        <w:ind w:firstLine="420" w:firstLineChars="200"/>
        <w:jc w:val="left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模型为超静定拱，全拱作为一个构件，不支持除支座移动外的其它结点荷载类型。默认截面刚度为</w:t>
      </w:r>
      <w:r>
        <w:rPr>
          <w:rFonts w:hint="eastAsia"/>
          <w:i/>
          <w:iCs/>
          <w:sz w:val="21"/>
          <w:szCs w:val="21"/>
        </w:rPr>
        <w:t>EI</w:t>
      </w:r>
      <w:r>
        <w:rPr>
          <w:rFonts w:hint="eastAsia"/>
          <w:i/>
          <w:iCs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>=1，</w:t>
      </w:r>
      <w:r>
        <w:rPr>
          <w:rFonts w:hint="eastAsia"/>
          <w:i/>
          <w:iCs/>
          <w:sz w:val="21"/>
          <w:szCs w:val="21"/>
        </w:rPr>
        <w:t>EA</w:t>
      </w:r>
      <w:r>
        <w:rPr>
          <w:rFonts w:hint="eastAsia"/>
          <w:i/>
          <w:iCs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</w:rPr>
        <w:t>=-1（无穷大）。单元荷载（如切向）的输入以此曲线构件的近似轴线确定。</w:t>
      </w:r>
    </w:p>
    <w:p>
      <w:pPr>
        <w:spacing w:after="156" w:afterLines="50"/>
        <w:ind w:firstLine="420" w:firstLineChars="200"/>
        <w:jc w:val="left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无铰拱分析时计算量大，教学时通常不要求精确手算，系统提供此功能的目的主要用于与静定三铰拱比对，以进一步认识拱类结构的内力分布和截面内力构成特征。</w:t>
      </w: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left="0" w:leftChars="0" w:firstLine="0" w:firstLineChars="0"/>
        <w:jc w:val="center"/>
        <w:rPr>
          <w:sz w:val="24"/>
        </w:rPr>
      </w:pPr>
      <w:r>
        <w:drawing>
          <wp:inline distT="0" distB="0" distL="114300" distR="114300">
            <wp:extent cx="1492885" cy="2512060"/>
            <wp:effectExtent l="0" t="0" r="12065" b="2540"/>
            <wp:docPr id="1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ind w:firstLine="480" w:firstLineChars="200"/>
        <w:jc w:val="center"/>
        <w:rPr>
          <w:rFonts w:cs="Times New Roman"/>
          <w:sz w:val="24"/>
        </w:rPr>
      </w:pPr>
      <w:r>
        <w:rPr>
          <w:rFonts w:hint="eastAsia" w:cs="Times New Roman"/>
          <w:sz w:val="24"/>
        </w:rPr>
        <w:t>图</w:t>
      </w:r>
      <w:r>
        <w:rPr>
          <w:rFonts w:hint="eastAsia" w:cs="Times New Roman"/>
          <w:sz w:val="24"/>
          <w:lang w:val="en-US" w:eastAsia="zh-CN"/>
        </w:rPr>
        <w:t>8</w:t>
      </w:r>
      <w:r>
        <w:rPr>
          <w:rFonts w:hint="eastAsia" w:cs="Times New Roman"/>
          <w:sz w:val="24"/>
        </w:rPr>
        <w:t>. 平面桁架的交互辅助建模</w:t>
      </w: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spacing w:after="156" w:afterLines="50"/>
        <w:ind w:firstLine="480" w:firstLineChars="200"/>
        <w:jc w:val="left"/>
        <w:rPr>
          <w:sz w:val="24"/>
        </w:rPr>
      </w:pPr>
    </w:p>
    <w:p>
      <w:pPr>
        <w:pStyle w:val="13"/>
        <w:numPr>
          <w:ilvl w:val="0"/>
          <w:numId w:val="11"/>
        </w:numPr>
        <w:spacing w:after="156" w:afterLines="50"/>
        <w:ind w:firstLineChars="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平面桁架</w:t>
      </w:r>
    </w:p>
    <w:p>
      <w:pPr>
        <w:spacing w:after="156" w:afterLines="50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系统默认杆件截面刚度特征为：</w:t>
      </w:r>
      <w:r>
        <w:rPr>
          <w:rFonts w:eastAsia="宋体" w:cs="Times New Roman"/>
          <w:i/>
          <w:iCs/>
          <w:sz w:val="21"/>
          <w:szCs w:val="21"/>
        </w:rPr>
        <w:t>EA</w:t>
      </w:r>
      <w:r>
        <w:rPr>
          <w:rFonts w:hint="eastAsia" w:ascii="宋体" w:hAnsi="宋体" w:eastAsia="宋体" w:cs="宋体"/>
          <w:sz w:val="21"/>
          <w:szCs w:val="21"/>
        </w:rPr>
        <w:t>=1、</w:t>
      </w:r>
      <w:r>
        <w:rPr>
          <w:rFonts w:eastAsia="宋体" w:cs="Times New Roman"/>
          <w:i/>
          <w:iCs/>
          <w:sz w:val="21"/>
          <w:szCs w:val="21"/>
        </w:rPr>
        <w:t>EI</w:t>
      </w:r>
      <w:r>
        <w:rPr>
          <w:rFonts w:hint="eastAsia" w:ascii="宋体" w:hAnsi="宋体" w:eastAsia="宋体" w:cs="宋体"/>
          <w:sz w:val="21"/>
          <w:szCs w:val="21"/>
        </w:rPr>
        <w:t>=0，各杆（包括自动生成和用户添加）皆为二力杆。只能添加结点力，不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允许</w:t>
      </w:r>
      <w:r>
        <w:rPr>
          <w:rFonts w:hint="eastAsia" w:ascii="宋体" w:hAnsi="宋体" w:eastAsia="宋体" w:cs="宋体"/>
          <w:sz w:val="21"/>
          <w:szCs w:val="21"/>
        </w:rPr>
        <w:t>添加力偶矩以及单元荷载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轴向分布荷载后阶段再增加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；温度荷载只能上下侧同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值</w:t>
      </w:r>
      <w:r>
        <w:rPr>
          <w:rFonts w:hint="eastAsia" w:ascii="宋体" w:hAnsi="宋体" w:eastAsia="宋体" w:cs="宋体"/>
          <w:sz w:val="21"/>
          <w:szCs w:val="21"/>
        </w:rPr>
        <w:t>施加；单元质量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只能</w:t>
      </w:r>
      <w:r>
        <w:rPr>
          <w:rFonts w:hint="eastAsia" w:ascii="宋体" w:hAnsi="宋体" w:eastAsia="宋体" w:cs="宋体"/>
          <w:sz w:val="21"/>
          <w:szCs w:val="21"/>
        </w:rPr>
        <w:t>按集中质量模式集成。</w:t>
      </w:r>
    </w:p>
    <w:p>
      <w:pPr>
        <w:spacing w:after="156" w:afterLines="50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其它</w:t>
      </w:r>
      <w:r>
        <w:rPr>
          <w:rFonts w:hint="eastAsia" w:ascii="宋体" w:hAnsi="宋体" w:eastAsia="宋体" w:cs="宋体"/>
          <w:sz w:val="21"/>
          <w:szCs w:val="21"/>
        </w:rPr>
        <w:t>参数说明如下：</w:t>
      </w:r>
    </w:p>
    <w:p>
      <w:pPr>
        <w:spacing w:after="156" w:afterLines="50"/>
        <w:ind w:firstLine="399" w:firstLineChars="190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H：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整体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高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度值</w:t>
      </w:r>
      <w:r>
        <w:rPr>
          <w:rFonts w:hint="default" w:ascii="Times New Roman" w:hAnsi="Times New Roman" w:eastAsia="宋体" w:cs="Times New Roman"/>
          <w:sz w:val="21"/>
          <w:szCs w:val="21"/>
        </w:rPr>
        <w:t>；L：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  <w:lang w:eastAsia="zh-CN"/>
        </w:rPr>
        <w:t>整体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跨度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值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spacing w:after="156" w:afterLines="50"/>
        <w:ind w:firstLine="399" w:firstLineChars="19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N</w:t>
      </w:r>
      <w:r>
        <w:rPr>
          <w:rFonts w:hint="eastAsia" w:eastAsia="宋体" w:cs="Times New Roman"/>
          <w:sz w:val="21"/>
          <w:szCs w:val="21"/>
          <w:lang w:val="en-US" w:eastAsia="zh-CN"/>
        </w:rPr>
        <w:t>(M)</w:t>
      </w:r>
      <w:r>
        <w:rPr>
          <w:rFonts w:hint="default" w:ascii="Times New Roman" w:hAnsi="Times New Roman" w:eastAsia="宋体" w:cs="Times New Roman"/>
          <w:sz w:val="21"/>
          <w:szCs w:val="21"/>
        </w:rPr>
        <w:t>：</w:t>
      </w:r>
      <w:r>
        <w:rPr>
          <w:rFonts w:hint="eastAsia" w:ascii="Times New Roman" w:hAnsi="Times New Roman" w:eastAsia="宋体" w:cs="Times New Roman"/>
          <w:color w:val="2E75B6" w:themeColor="accent1" w:themeShade="BF"/>
          <w:sz w:val="21"/>
          <w:szCs w:val="21"/>
          <w:lang w:val="en-US" w:eastAsia="zh-CN"/>
        </w:rPr>
        <w:t>水平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(竖向)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节间数，选择对称布置时，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水平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节间数</w:t>
      </w:r>
      <w:r>
        <w:rPr>
          <w:rFonts w:hint="eastAsia" w:eastAsia="宋体" w:cs="Times New Roman"/>
          <w:color w:val="2E75B6" w:themeColor="accent1" w:themeShade="BF"/>
          <w:sz w:val="21"/>
          <w:szCs w:val="21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需要输入偶数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spacing w:after="156" w:afterLines="50"/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N形：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斜腹杆方向右下斜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  <w:lang w:eastAsia="zh-CN"/>
        </w:rPr>
        <w:t>（左起）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；</w:t>
      </w:r>
      <w:r>
        <w:rPr>
          <w:rFonts w:hint="default" w:ascii="Times New Roman" w:hAnsi="Times New Roman" w:eastAsia="宋体" w:cs="Times New Roman"/>
          <w:sz w:val="21"/>
          <w:szCs w:val="21"/>
        </w:rPr>
        <w:t>И形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</w:rPr>
        <w:t>：斜腹杆方向右上斜</w:t>
      </w:r>
      <w:r>
        <w:rPr>
          <w:rFonts w:hint="default" w:ascii="Times New Roman" w:hAnsi="Times New Roman" w:eastAsia="宋体" w:cs="Times New Roman"/>
          <w:color w:val="2E75B6" w:themeColor="accent1" w:themeShade="BF"/>
          <w:sz w:val="21"/>
          <w:szCs w:val="21"/>
          <w:lang w:eastAsia="zh-CN"/>
        </w:rPr>
        <w:t>（左起）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after="156" w:afterLines="50"/>
        <w:jc w:val="lef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（1）平行弦桁架</w:t>
      </w:r>
    </w:p>
    <w:p>
      <w:pPr>
        <w:spacing w:after="156" w:afterLines="50"/>
        <w:ind w:firstLine="399" w:firstLineChars="190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对称布置：斜杆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按</w:t>
      </w:r>
      <w:r>
        <w:rPr>
          <w:rFonts w:hint="eastAsia" w:ascii="宋体" w:hAnsi="宋体" w:eastAsia="宋体" w:cs="宋体"/>
          <w:sz w:val="21"/>
          <w:szCs w:val="21"/>
        </w:rPr>
        <w:t>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轴</w:t>
      </w:r>
      <w:r>
        <w:rPr>
          <w:rFonts w:hint="eastAsia" w:ascii="宋体" w:hAnsi="宋体" w:eastAsia="宋体" w:cs="宋体"/>
          <w:sz w:val="21"/>
          <w:szCs w:val="21"/>
        </w:rPr>
        <w:t>对称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布置</w:t>
      </w:r>
      <w:r>
        <w:rPr>
          <w:rFonts w:hint="eastAsia" w:ascii="宋体" w:hAnsi="宋体" w:eastAsia="宋体" w:cs="宋体"/>
          <w:sz w:val="21"/>
          <w:szCs w:val="21"/>
        </w:rPr>
        <w:t>；不选时全部斜杆单向布置。</w:t>
      </w:r>
    </w:p>
    <w:p>
      <w:pPr>
        <w:spacing w:after="156" w:afterLines="50"/>
        <w:jc w:val="lef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（2）三角形桁架</w:t>
      </w:r>
    </w:p>
    <w:p>
      <w:pPr>
        <w:spacing w:after="156" w:afterLines="50"/>
        <w:ind w:firstLine="399" w:firstLineChars="19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要求</w:t>
      </w:r>
      <w:r>
        <w:rPr>
          <w:rFonts w:hint="eastAsia" w:ascii="宋体" w:hAnsi="宋体" w:eastAsia="宋体" w:cs="宋体"/>
          <w:sz w:val="21"/>
          <w:szCs w:val="21"/>
        </w:rPr>
        <w:t>对称布置。</w:t>
      </w:r>
    </w:p>
    <w:p>
      <w:pPr>
        <w:spacing w:after="156" w:afterLines="50"/>
        <w:jc w:val="lef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（3）梯形桁架</w:t>
      </w:r>
    </w:p>
    <w:p>
      <w:pPr>
        <w:spacing w:after="156" w:afterLines="50"/>
        <w:ind w:firstLine="399" w:firstLineChars="190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要求</w:t>
      </w:r>
      <w:r>
        <w:rPr>
          <w:rFonts w:hint="eastAsia" w:ascii="宋体" w:hAnsi="宋体" w:eastAsia="宋体" w:cs="宋体"/>
          <w:sz w:val="21"/>
          <w:szCs w:val="21"/>
        </w:rPr>
        <w:t>对称布置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h：梯形桁架边支座处高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spacing w:after="156" w:afterLines="5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（4）折线、抛物线和圆弧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桁架</w:t>
      </w:r>
    </w:p>
    <w:p>
      <w:pPr>
        <w:spacing w:after="156" w:afterLines="5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要求对称布置，按所选择曲线形式</w:t>
      </w:r>
      <w:r>
        <w:rPr>
          <w:rFonts w:hint="eastAsia" w:ascii="宋体" w:hAnsi="宋体" w:eastAsia="宋体" w:cs="宋体"/>
          <w:sz w:val="21"/>
          <w:szCs w:val="21"/>
        </w:rPr>
        <w:t>确定桁架上弦结点定位</w:t>
      </w:r>
    </w:p>
    <w:p>
      <w:pPr>
        <w:spacing w:after="156" w:afterLines="50"/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5）规则桁架</w:t>
      </w:r>
    </w:p>
    <w:p>
      <w:pPr>
        <w:spacing w:after="156" w:afterLines="50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只给出跨、层的水平、竖向杆件，其余斜杆需用户添加</w:t>
      </w:r>
    </w:p>
    <w:p>
      <w:pPr>
        <w:spacing w:after="156" w:afterLines="50"/>
        <w:rPr>
          <w:rFonts w:ascii="宋体" w:hAnsi="宋体" w:eastAsia="宋体" w:cs="宋体"/>
          <w:sz w:val="21"/>
          <w:szCs w:val="21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4628" w:space="425"/>
            <w:col w:w="8905"/>
          </w:cols>
          <w:docGrid w:type="lines" w:linePitch="312" w:charSpace="0"/>
        </w:sectPr>
      </w:pPr>
    </w:p>
    <w:p>
      <w:pPr>
        <w:jc w:val="center"/>
        <w:rPr>
          <w:rFonts w:hint="eastAsia" w:eastAsiaTheme="minor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附表1</w:t>
      </w:r>
      <w:r>
        <w:rPr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</w:rPr>
        <w:t>单元荷载参数表</w:t>
      </w:r>
      <w:r>
        <w:rPr>
          <w:rFonts w:hint="eastAsia"/>
          <w:b/>
          <w:bCs/>
          <w:sz w:val="24"/>
          <w:lang w:eastAsia="zh-CN"/>
        </w:rPr>
        <w:t>（</w:t>
      </w:r>
      <w:r>
        <w:rPr>
          <w:rFonts w:hint="eastAsia"/>
          <w:b/>
          <w:bCs/>
          <w:sz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荷载位置参数均按</w:t>
      </w:r>
      <w:r>
        <w:rPr>
          <w:rFonts w:hint="eastAsia" w:eastAsiaTheme="minorEastAsia"/>
          <w:b/>
          <w:bCs/>
          <w:sz w:val="24"/>
          <w:u w:val="words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相对长度</w:t>
      </w:r>
      <w:r>
        <w:rPr>
          <w:rFonts w:hint="eastAsia"/>
          <w:b/>
          <w:bCs/>
          <w:sz w:val="24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输入；-y垂直于杆轴；-Y竖向；-X水平</w:t>
      </w:r>
      <w:r>
        <w:rPr>
          <w:rFonts w:hint="eastAsia"/>
          <w:b/>
          <w:bCs/>
          <w:sz w:val="24"/>
          <w:lang w:eastAsia="zh-CN"/>
        </w:rPr>
        <w:t>）</w:t>
      </w:r>
    </w:p>
    <w:p>
      <w:pPr>
        <w:jc w:val="center"/>
        <w:rPr>
          <w:rFonts w:hint="eastAsia"/>
          <w:b/>
          <w:bCs/>
          <w:sz w:val="24"/>
        </w:rPr>
      </w:pPr>
    </w:p>
    <w:tbl>
      <w:tblPr>
        <w:tblStyle w:val="9"/>
        <w:tblW w:w="139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"/>
        <w:gridCol w:w="3216"/>
        <w:gridCol w:w="832"/>
        <w:gridCol w:w="505"/>
        <w:gridCol w:w="3327"/>
        <w:gridCol w:w="896"/>
        <w:gridCol w:w="562"/>
        <w:gridCol w:w="3287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708" w:type="dxa"/>
            <w:gridSpan w:val="2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荷载类型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参数</w:t>
            </w:r>
          </w:p>
        </w:tc>
        <w:tc>
          <w:tcPr>
            <w:tcW w:w="3832" w:type="dxa"/>
            <w:gridSpan w:val="2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荷载类型</w:t>
            </w: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参数</w:t>
            </w:r>
          </w:p>
        </w:tc>
        <w:tc>
          <w:tcPr>
            <w:tcW w:w="3849" w:type="dxa"/>
            <w:gridSpan w:val="2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荷载类型</w:t>
            </w:r>
          </w:p>
        </w:tc>
        <w:tc>
          <w:tcPr>
            <w:tcW w:w="838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7" w:hRule="atLeast"/>
          <w:jc w:val="center"/>
        </w:trPr>
        <w:tc>
          <w:tcPr>
            <w:tcW w:w="49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满跨均布-y</w:t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708150" cy="1146175"/>
                  <wp:effectExtent l="0" t="0" r="6350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q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侧向均布-X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434465" cy="1343660"/>
                  <wp:effectExtent l="0" t="0" r="13335" b="889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q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42"/>
                <w:sz w:val="24"/>
                <w:lang w:eastAsia="zh-CN"/>
              </w:rPr>
              <w:object>
                <v:shape id="_x0000_i1027" o:spt="75" type="#_x0000_t75" style="height:39.65pt;width:34.1pt;" o:ole="t" filled="f" o:preferrelative="t" stroked="f" coordsize="21600,21600">
                  <v:path/>
                  <v:fill on="f" focussize="0,0"/>
                  <v:stroke on="f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KSEE3" ShapeID="_x0000_i1027" DrawAspect="Content" ObjectID="_1468075727" r:id="rId63">
                  <o:LockedField>false</o:LockedField>
                </o:OLEObject>
              </w:object>
            </w:r>
          </w:p>
        </w:tc>
        <w:tc>
          <w:tcPr>
            <w:tcW w:w="56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侧向集中-X</w:t>
            </w:r>
          </w:p>
        </w:tc>
        <w:tc>
          <w:tcPr>
            <w:tcW w:w="328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323340" cy="1370330"/>
                  <wp:effectExtent l="0" t="0" r="10160" b="127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34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F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6"/>
                <w:sz w:val="24"/>
                <w:lang w:eastAsia="zh-CN"/>
              </w:rPr>
              <w:object>
                <v:shape id="_x0000_i1028" o:spt="75" type="#_x0000_t75" style="height:11.1pt;width:34.1pt;" o:ole="t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KSEE3" ShapeID="_x0000_i1028" DrawAspect="Content" ObjectID="_1468075728" r:id="rId6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atLeast"/>
          <w:jc w:val="center"/>
        </w:trPr>
        <w:tc>
          <w:tcPr>
            <w:tcW w:w="49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切向均布-y</w:t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13535" cy="1085215"/>
                  <wp:effectExtent l="0" t="0" r="571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q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42"/>
                <w:sz w:val="24"/>
                <w:lang w:eastAsia="zh-CN"/>
              </w:rPr>
              <w:object>
                <v:shape id="_x0000_i1029" o:spt="75" type="#_x0000_t75" style="height:39.65pt;width:34.1pt;" o:ole="t" filled="f" o:preferrelative="t" stroked="f" coordsize="21600,21600">
                  <v:path/>
                  <v:fill on="f" focussize="0,0"/>
                  <v:stroke on="f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KSEE3" ShapeID="_x0000_i1029" DrawAspect="Content" ObjectID="_1468075729" r:id="rId69">
                  <o:LockedField>false</o:LockedField>
                </o:OLEObject>
              </w:objec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切向集中-y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54810" cy="1166495"/>
                  <wp:effectExtent l="0" t="0" r="2540" b="146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F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6"/>
                <w:sz w:val="24"/>
                <w:lang w:eastAsia="zh-CN"/>
              </w:rPr>
              <w:object>
                <v:shape id="_x0000_i1030" o:spt="75" type="#_x0000_t75" style="height:11.1pt;width:34.1pt;" o:ole="t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KSEE3" ShapeID="_x0000_i1030" DrawAspect="Content" ObjectID="_1468075730" r:id="rId71">
                  <o:LockedField>false</o:LockedField>
                </o:OLEObject>
              </w:object>
            </w:r>
          </w:p>
        </w:tc>
        <w:tc>
          <w:tcPr>
            <w:tcW w:w="56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集中力偶</w:t>
            </w:r>
          </w:p>
        </w:tc>
        <w:tc>
          <w:tcPr>
            <w:tcW w:w="328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705610" cy="1200785"/>
                  <wp:effectExtent l="0" t="0" r="8890" b="184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M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6"/>
                <w:sz w:val="24"/>
                <w:lang w:eastAsia="zh-CN"/>
              </w:rPr>
              <w:object>
                <v:shape id="_x0000_i1031" o:spt="75" type="#_x0000_t75" style="height:11.1pt;width:34.1pt;" o:ole="t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KSEE3" ShapeID="_x0000_i1031" DrawAspect="Content" ObjectID="_1468075731" r:id="rId73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1" w:hRule="atLeast"/>
          <w:jc w:val="center"/>
        </w:trPr>
        <w:tc>
          <w:tcPr>
            <w:tcW w:w="49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竖向均布-Y</w:t>
            </w:r>
          </w:p>
        </w:tc>
        <w:tc>
          <w:tcPr>
            <w:tcW w:w="3216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402080" cy="1453515"/>
                  <wp:effectExtent l="0" t="0" r="7620" b="133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q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42"/>
                <w:sz w:val="24"/>
                <w:lang w:eastAsia="zh-CN"/>
              </w:rPr>
              <w:object>
                <v:shape id="_x0000_i1032" o:spt="75" type="#_x0000_t75" style="height:39.65pt;width:34.1pt;" o:ole="t" filled="f" o:preferrelative="t" stroked="f" coordsize="21600,21600">
                  <v:path/>
                  <v:fill on="f" focussize="0,0"/>
                  <v:stroke on="f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KSEE3" ShapeID="_x0000_i1032" DrawAspect="Content" ObjectID="_1468075732" r:id="rId75">
                  <o:LockedField>false</o:LockedField>
                </o:OLEObject>
              </w:objec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竖向集中-Y</w:t>
            </w:r>
          </w:p>
        </w:tc>
        <w:tc>
          <w:tcPr>
            <w:tcW w:w="332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341755" cy="1388110"/>
                  <wp:effectExtent l="0" t="0" r="10795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" w:type="dxa"/>
            <w:vAlign w:val="center"/>
          </w:tcPr>
          <w:p>
            <w:pPr>
              <w:jc w:val="center"/>
              <w:rPr>
                <w:rFonts w:hint="eastAsia"/>
                <w:i/>
                <w:iCs/>
                <w:sz w:val="24"/>
              </w:rPr>
            </w:pPr>
            <w:r>
              <w:rPr>
                <w:rFonts w:hint="eastAsia"/>
                <w:i/>
                <w:iCs/>
                <w:sz w:val="24"/>
              </w:rPr>
              <w:t>F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6"/>
                <w:sz w:val="24"/>
                <w:lang w:eastAsia="zh-CN"/>
              </w:rPr>
              <w:object>
                <v:shape id="_x0000_i1033" o:spt="75" type="#_x0000_t75" style="height:11.1pt;width:34.1pt;" o:ole="t" filled="f" o:preferrelative="t" stroked="f" coordsize="21600,21600">
                  <v:path/>
                  <v:fill on="f" focussize="0,0"/>
                  <v:stroke on="f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KSEE3" ShapeID="_x0000_i1033" DrawAspect="Content" ObjectID="_1468075733" r:id="rId77">
                  <o:LockedField>false</o:LockedField>
                </o:OLEObject>
              </w:object>
            </w:r>
          </w:p>
        </w:tc>
        <w:tc>
          <w:tcPr>
            <w:tcW w:w="562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/>
                <w:sz w:val="24"/>
              </w:rPr>
              <w:t>温度荷载</w:t>
            </w:r>
          </w:p>
        </w:tc>
        <w:tc>
          <w:tcPr>
            <w:tcW w:w="3287" w:type="dxa"/>
            <w:vAlign w:val="center"/>
          </w:tcPr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921510" cy="1129030"/>
                  <wp:effectExtent l="0" t="0" r="2540" b="146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Align w:val="center"/>
          </w:tcPr>
          <w:p>
            <w:pPr>
              <w:jc w:val="center"/>
              <w:rPr>
                <w:rFonts w:ascii="Symbol" w:hAnsi="Symbol" w:cs="Symbol"/>
                <w:i/>
                <w:iCs/>
                <w:sz w:val="24"/>
              </w:rPr>
            </w:pPr>
            <w:r>
              <w:rPr>
                <w:rFonts w:ascii="Symbol" w:hAnsi="Symbol" w:cs="Symbol"/>
                <w:i/>
                <w:iCs/>
                <w:sz w:val="24"/>
              </w:rPr>
              <w:t></w:t>
            </w:r>
          </w:p>
          <w:p>
            <w:pPr>
              <w:jc w:val="center"/>
              <w:rPr>
                <w:rFonts w:hint="eastAsia"/>
                <w:sz w:val="24"/>
                <w:vertAlign w:val="subscript"/>
              </w:rPr>
            </w:pPr>
            <w:r>
              <w:rPr>
                <w:rFonts w:hint="eastAsia"/>
                <w:i/>
                <w:iCs/>
                <w:sz w:val="24"/>
              </w:rPr>
              <w:t>t</w:t>
            </w:r>
            <w:r>
              <w:rPr>
                <w:rFonts w:hint="eastAsia"/>
                <w:sz w:val="24"/>
                <w:vertAlign w:val="subscript"/>
              </w:rPr>
              <w:t>1</w:t>
            </w:r>
          </w:p>
          <w:p>
            <w:pPr>
              <w:jc w:val="center"/>
              <w:rPr>
                <w:rFonts w:hint="eastAsia"/>
                <w:sz w:val="24"/>
                <w:vertAlign w:val="subscript"/>
              </w:rPr>
            </w:pPr>
            <w:r>
              <w:rPr>
                <w:rFonts w:hint="eastAsia"/>
                <w:sz w:val="24"/>
              </w:rPr>
              <w:t>t</w:t>
            </w:r>
            <w:r>
              <w:rPr>
                <w:rFonts w:hint="eastAsia"/>
                <w:sz w:val="24"/>
                <w:vertAlign w:val="subscript"/>
              </w:rPr>
              <w:t>2</w:t>
            </w:r>
          </w:p>
          <w:p>
            <w:pPr>
              <w:jc w:val="center"/>
              <w:rPr>
                <w:i/>
                <w:iCs/>
                <w:sz w:val="24"/>
              </w:rPr>
            </w:pPr>
            <w:r>
              <w:rPr>
                <w:rFonts w:hint="eastAsia" w:eastAsiaTheme="minorEastAsia"/>
                <w:i/>
                <w:iCs/>
                <w:position w:val="-6"/>
                <w:sz w:val="24"/>
                <w:lang w:eastAsia="zh-CN"/>
              </w:rPr>
              <w:object>
                <v:shape id="_x0000_i1034" o:spt="75" type="#_x0000_t75" style="height:11.1pt;width:22.25pt;" o:ole="t" filled="f" o:preferrelative="t" stroked="f" coordsize="21600,21600">
                  <v:path/>
                  <v:fill on="f" focussize="0,0"/>
                  <v:stroke on="f"/>
                  <v:imagedata r:id="rId80" o:title=""/>
                  <o:lock v:ext="edit" aspectratio="t"/>
                  <w10:wrap type="none"/>
                  <w10:anchorlock/>
                </v:shape>
                <o:OLEObject Type="Embed" ProgID="Equation.KSEE3" ShapeID="_x0000_i1034" DrawAspect="Content" ObjectID="_1468075734" r:id="rId79">
                  <o:LockedField>false</o:LockedField>
                </o:OLEObject>
              </w:object>
            </w:r>
          </w:p>
        </w:tc>
      </w:tr>
    </w:tbl>
    <w:p>
      <w:pPr>
        <w:rPr>
          <w:sz w:val="24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rPr>
          <w:b/>
          <w:bCs/>
          <w:sz w:val="36"/>
        </w:rPr>
      </w:pPr>
      <w:r>
        <w:rPr>
          <w:rFonts w:hint="eastAsia"/>
          <w:b/>
          <w:bCs/>
          <w:sz w:val="36"/>
        </w:rPr>
        <w:t>六、模型显示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系统提供对颜色、线型、数值和文字等的显示选项。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2447925" cy="353187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cs="Times New Roman"/>
          <w:sz w:val="24"/>
        </w:rPr>
      </w:pPr>
      <w:r>
        <w:rPr>
          <w:rFonts w:hint="eastAsia" w:cs="Times New Roman"/>
          <w:sz w:val="24"/>
        </w:rPr>
        <w:t>图</w:t>
      </w:r>
      <w:r>
        <w:rPr>
          <w:rFonts w:cs="Times New Roman"/>
          <w:sz w:val="24"/>
        </w:rPr>
        <w:t>10</w:t>
      </w:r>
      <w:r>
        <w:rPr>
          <w:rFonts w:hint="eastAsia" w:cs="Times New Roman"/>
          <w:sz w:val="24"/>
        </w:rPr>
        <w:t xml:space="preserve"> 模型显示设置选项卡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Chars="0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颜色设置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模式一：彩色</w:t>
      </w:r>
      <w:r>
        <w:rPr>
          <w:rFonts w:hint="eastAsia"/>
          <w:sz w:val="21"/>
          <w:szCs w:val="21"/>
        </w:rPr>
        <w:t>，电脑屏幕</w:t>
      </w:r>
      <w:r>
        <w:rPr>
          <w:rFonts w:hint="eastAsia"/>
          <w:sz w:val="21"/>
          <w:szCs w:val="21"/>
          <w:lang w:eastAsia="zh-CN"/>
        </w:rPr>
        <w:t>显示</w:t>
      </w:r>
      <w:r>
        <w:rPr>
          <w:rFonts w:hint="eastAsia"/>
          <w:sz w:val="21"/>
          <w:szCs w:val="21"/>
        </w:rPr>
        <w:t>和彩色打印可选择此项；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模式二：黑白单色显示</w:t>
      </w:r>
      <w:r>
        <w:rPr>
          <w:rFonts w:hint="eastAsia"/>
          <w:sz w:val="21"/>
          <w:szCs w:val="21"/>
        </w:rPr>
        <w:t>，单色打印可选择此项；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模式三：黑蓝双色显示</w:t>
      </w:r>
      <w:r>
        <w:rPr>
          <w:rFonts w:hint="eastAsia"/>
          <w:sz w:val="21"/>
          <w:szCs w:val="21"/>
        </w:rPr>
        <w:t>，投影效果不佳时，可选择此项，</w:t>
      </w:r>
      <w:r>
        <w:rPr>
          <w:rFonts w:hint="eastAsia"/>
          <w:sz w:val="21"/>
          <w:szCs w:val="21"/>
          <w:lang w:val="en-US" w:eastAsia="zh-CN"/>
        </w:rPr>
        <w:t>保证</w:t>
      </w:r>
      <w:r>
        <w:rPr>
          <w:rFonts w:hint="eastAsia"/>
          <w:sz w:val="21"/>
          <w:szCs w:val="21"/>
        </w:rPr>
        <w:t>图像清晰</w:t>
      </w:r>
      <w:r>
        <w:rPr>
          <w:rFonts w:hint="eastAsia"/>
          <w:sz w:val="21"/>
          <w:szCs w:val="21"/>
          <w:lang w:val="en-US" w:eastAsia="zh-CN"/>
        </w:rPr>
        <w:t>度和分辨度</w:t>
      </w:r>
      <w:r>
        <w:rPr>
          <w:rFonts w:hint="eastAsia"/>
          <w:sz w:val="21"/>
          <w:szCs w:val="21"/>
        </w:rPr>
        <w:t>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Chars="0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数值显示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小数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显示</w:t>
      </w:r>
      <w:r>
        <w:rPr>
          <w:rFonts w:hint="eastAsia"/>
          <w:b/>
          <w:bCs/>
          <w:color w:val="0000FF"/>
          <w:sz w:val="21"/>
          <w:szCs w:val="21"/>
        </w:rPr>
        <w:t>精度</w:t>
      </w:r>
      <w:r>
        <w:rPr>
          <w:rFonts w:hint="eastAsia"/>
          <w:sz w:val="21"/>
          <w:szCs w:val="21"/>
        </w:rPr>
        <w:t>：数值显示时小数点后面的有效数字；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rFonts w:ascii="Arial" w:hAnsi="Arial" w:cs="Arial"/>
          <w:position w:val="-6"/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分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sz w:val="21"/>
          <w:szCs w:val="21"/>
        </w:rPr>
        <w:t>数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 xml:space="preserve">  </w:t>
      </w:r>
      <w:r>
        <w:rPr>
          <w:rFonts w:hint="eastAsia"/>
          <w:b/>
          <w:bCs/>
          <w:color w:val="0000FF"/>
          <w:sz w:val="21"/>
          <w:szCs w:val="21"/>
        </w:rPr>
        <w:t>显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sz w:val="21"/>
          <w:szCs w:val="21"/>
        </w:rPr>
        <w:t>示</w:t>
      </w:r>
      <w:r>
        <w:rPr>
          <w:rFonts w:hint="eastAsia"/>
          <w:sz w:val="21"/>
          <w:szCs w:val="21"/>
        </w:rPr>
        <w:t>：将小数数值按</w:t>
      </w:r>
      <w:r>
        <w:rPr>
          <w:rFonts w:hint="eastAsia"/>
          <w:sz w:val="21"/>
          <w:szCs w:val="21"/>
          <w:lang w:val="en-US" w:eastAsia="zh-CN"/>
        </w:rPr>
        <w:t>一定</w:t>
      </w:r>
      <w:r>
        <w:rPr>
          <w:rFonts w:hint="eastAsia"/>
          <w:sz w:val="21"/>
          <w:szCs w:val="21"/>
        </w:rPr>
        <w:t>精度</w:t>
      </w:r>
      <w:r>
        <w:rPr>
          <w:rFonts w:hint="eastAsia"/>
          <w:color w:val="0000FF"/>
          <w:sz w:val="21"/>
          <w:szCs w:val="21"/>
          <w:lang w:eastAsia="zh-CN"/>
        </w:rPr>
        <w:t>尽量</w:t>
      </w:r>
      <w:r>
        <w:rPr>
          <w:rFonts w:hint="eastAsia"/>
          <w:sz w:val="21"/>
          <w:szCs w:val="21"/>
        </w:rPr>
        <w:t>转换为分数显示；如：0.3333333</w:t>
      </w:r>
      <w:r>
        <w:rPr>
          <w:rFonts w:ascii="Arial" w:hAnsi="Arial" w:cs="Arial"/>
          <w:sz w:val="21"/>
          <w:szCs w:val="21"/>
        </w:rPr>
        <w:t>→</w:t>
      </w:r>
      <w:r>
        <w:rPr>
          <w:rFonts w:ascii="Arial" w:hAnsi="Arial" w:cs="Arial"/>
          <w:position w:val="-6"/>
          <w:sz w:val="21"/>
          <w:szCs w:val="21"/>
        </w:rPr>
        <w:object>
          <v:shape id="_x0000_i1035" o:spt="75" type="#_x0000_t75" style="height:13.6pt;width:20.2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8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桁杆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根号</w:t>
      </w:r>
      <w:r>
        <w:rPr>
          <w:rFonts w:hint="eastAsia"/>
          <w:b/>
          <w:bCs/>
          <w:color w:val="0000FF"/>
          <w:sz w:val="21"/>
          <w:szCs w:val="21"/>
        </w:rPr>
        <w:t>显示</w:t>
      </w:r>
      <w:r>
        <w:rPr>
          <w:rFonts w:hint="eastAsia"/>
          <w:sz w:val="21"/>
          <w:szCs w:val="21"/>
        </w:rPr>
        <w:t>：系统按手算习惯显示带根号的结果；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2" w:firstLineChars="200"/>
        <w:textAlignment w:val="auto"/>
        <w:rPr>
          <w:sz w:val="21"/>
          <w:szCs w:val="21"/>
        </w:rPr>
      </w:pPr>
      <w:r>
        <w:rPr>
          <w:rFonts w:hint="eastAsia"/>
          <w:b/>
          <w:bCs/>
          <w:color w:val="0000FF"/>
          <w:sz w:val="21"/>
          <w:szCs w:val="21"/>
        </w:rPr>
        <w:t>分子分母显示</w:t>
      </w:r>
      <w:r>
        <w:rPr>
          <w:rFonts w:hint="eastAsia"/>
          <w:sz w:val="21"/>
          <w:szCs w:val="21"/>
        </w:rPr>
        <w:t>：</w:t>
      </w:r>
      <w:r>
        <w:rPr>
          <w:rFonts w:hint="eastAsia"/>
          <w:sz w:val="21"/>
          <w:szCs w:val="21"/>
          <w:lang w:eastAsia="zh-CN"/>
        </w:rPr>
        <w:t>分</w:t>
      </w:r>
      <w:r>
        <w:rPr>
          <w:rFonts w:hint="eastAsia"/>
          <w:sz w:val="21"/>
          <w:szCs w:val="21"/>
          <w:lang w:val="en-US" w:eastAsia="zh-CN"/>
        </w:rPr>
        <w:t>双</w:t>
      </w:r>
      <w:r>
        <w:rPr>
          <w:rFonts w:hint="eastAsia"/>
          <w:sz w:val="21"/>
          <w:szCs w:val="21"/>
        </w:rPr>
        <w:t>行或单行显示。如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48" w:afterLines="15"/>
        <w:ind w:left="0" w:leftChars="0" w:firstLine="1837" w:firstLineChars="875"/>
        <w:textAlignment w:val="auto"/>
        <w:rPr>
          <w:sz w:val="21"/>
          <w:szCs w:val="21"/>
        </w:rPr>
      </w:pPr>
      <w:r>
        <w:rPr>
          <w:rFonts w:hint="eastAsia" w:ascii="Arial" w:hAnsi="Arial" w:cs="Arial"/>
          <w:sz w:val="21"/>
          <w:szCs w:val="21"/>
        </w:rPr>
        <w:t>单行：</w:t>
      </w:r>
      <w:r>
        <w:rPr>
          <w:rFonts w:ascii="Arial" w:hAnsi="Arial" w:cs="Arial"/>
          <w:position w:val="-10"/>
          <w:sz w:val="21"/>
          <w:szCs w:val="21"/>
        </w:rPr>
        <w:object>
          <v:shape id="_x0000_i1036" o:spt="75" type="#_x0000_t75" style="height:16.05pt;width:28.4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84">
            <o:LockedField>false</o:LockedField>
          </o:OLEObject>
        </w:object>
      </w:r>
      <w:r>
        <w:rPr>
          <w:rFonts w:hint="eastAsia" w:ascii="Arial" w:hAnsi="Arial" w:cs="Arial"/>
          <w:position w:val="-10"/>
          <w:sz w:val="21"/>
          <w:szCs w:val="21"/>
        </w:rPr>
        <w:t>、</w:t>
      </w:r>
      <w:r>
        <w:rPr>
          <w:rFonts w:ascii="Arial" w:hAnsi="Arial" w:cs="Arial"/>
          <w:position w:val="-8"/>
          <w:sz w:val="21"/>
          <w:szCs w:val="21"/>
        </w:rPr>
        <w:object>
          <v:shape id="_x0000_i1037" o:spt="75" type="#_x0000_t75" style="height:16.05pt;width:33.6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86">
            <o:LockedField>false</o:LockedField>
          </o:OLEObject>
        </w:object>
      </w:r>
      <w:r>
        <w:rPr>
          <w:rFonts w:hint="eastAsia" w:ascii="Arial" w:hAnsi="Arial" w:cs="Arial"/>
          <w:position w:val="-8"/>
          <w:sz w:val="21"/>
          <w:szCs w:val="21"/>
          <w:lang w:eastAsia="zh-CN"/>
        </w:rPr>
        <w:t>；</w:t>
      </w:r>
      <w:r>
        <w:rPr>
          <w:rFonts w:hint="eastAsia" w:ascii="Arial" w:hAnsi="Arial" w:cs="Arial"/>
          <w:sz w:val="21"/>
          <w:szCs w:val="21"/>
          <w:lang w:val="en-US" w:eastAsia="zh-CN"/>
        </w:rPr>
        <w:t>双</w:t>
      </w:r>
      <w:r>
        <w:rPr>
          <w:rFonts w:hint="eastAsia" w:ascii="Arial" w:hAnsi="Arial" w:cs="Arial"/>
          <w:sz w:val="21"/>
          <w:szCs w:val="21"/>
        </w:rPr>
        <w:t>行：</w:t>
      </w:r>
      <w:r>
        <w:rPr>
          <w:rFonts w:ascii="Arial" w:hAnsi="Arial" w:cs="Arial"/>
          <w:position w:val="-24"/>
          <w:sz w:val="21"/>
          <w:szCs w:val="21"/>
        </w:rPr>
        <w:object>
          <v:shape id="_x0000_i1038" o:spt="75" type="#_x0000_t75" style="height:29.05pt;width:18.4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88">
            <o:LockedField>false</o:LockedField>
          </o:OLEObject>
        </w:object>
      </w:r>
      <w:r>
        <w:rPr>
          <w:rFonts w:hint="eastAsia" w:ascii="Arial" w:hAnsi="Arial" w:cs="Arial"/>
          <w:position w:val="-24"/>
          <w:sz w:val="21"/>
          <w:szCs w:val="21"/>
        </w:rPr>
        <w:t>、</w:t>
      </w:r>
      <w:r>
        <w:rPr>
          <w:rFonts w:ascii="Arial" w:hAnsi="Arial" w:cs="Arial"/>
          <w:position w:val="-24"/>
          <w:sz w:val="21"/>
          <w:szCs w:val="21"/>
        </w:rPr>
        <w:object>
          <v:shape id="_x0000_i1039" o:spt="75" type="#_x0000_t75" style="height:29.95pt;width:23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9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left="-2" w:leftChars="-1" w:firstLine="1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页面设置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存图时点取页面底图显示，可将图形缩放至适当大小，</w:t>
      </w:r>
      <w:r>
        <w:rPr>
          <w:rFonts w:hint="eastAsia"/>
          <w:sz w:val="21"/>
          <w:szCs w:val="21"/>
          <w:lang w:eastAsia="zh-CN"/>
        </w:rPr>
        <w:t>便</w:t>
      </w:r>
      <w:r>
        <w:rPr>
          <w:rFonts w:hint="eastAsia"/>
          <w:sz w:val="21"/>
          <w:szCs w:val="21"/>
        </w:rPr>
        <w:t>于插入</w:t>
      </w:r>
      <w:r>
        <w:rPr>
          <w:rFonts w:hint="eastAsia"/>
          <w:sz w:val="21"/>
          <w:szCs w:val="21"/>
          <w:lang w:val="en-US" w:eastAsia="zh-CN"/>
        </w:rPr>
        <w:t>WPS/OFFICE</w:t>
      </w:r>
      <w:r>
        <w:rPr>
          <w:rFonts w:hint="eastAsia"/>
          <w:sz w:val="21"/>
          <w:szCs w:val="21"/>
        </w:rPr>
        <w:t>中。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left="-2" w:leftChars="-1" w:firstLine="1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文字设置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调整各类显示文字大小。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left="-2" w:leftChars="-1" w:firstLine="1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快捷按钮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软件窗体右下角，有快捷按钮（图11所示），用户可快速调整显示效果，或进行图形保存。（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注：保存图形只包括</w:t>
      </w:r>
      <w:r>
        <w:rPr>
          <w:rFonts w:hint="eastAsia"/>
          <w:b/>
          <w:bCs/>
          <w:color w:val="8FAADC" w:themeColor="accent5" w:themeTint="99"/>
          <w:sz w:val="21"/>
          <w:szCs w:val="21"/>
          <w:lang w:val="en-US" w:eastAsia="zh-CN"/>
          <w14:textFill>
            <w14:solidFill>
              <w14:schemeClr w14:val="accent5">
                <w14:lumMod w14:val="60000"/>
                <w14:lumOff w14:val="40000"/>
              </w14:schemeClr>
            </w14:solidFill>
          </w14:textFill>
        </w:rPr>
        <w:t>当前窗口正在显示的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模型简图、反力图、内力图、变形图、振型图、影响线，不包括分析过程图；分析过程图文暂请屏幕截图，存为文档的功能暂未上线</w:t>
      </w:r>
      <w:r>
        <w:rPr>
          <w:rFonts w:hint="eastAsia"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主讲教师模式可切换为“备课模式”或“课堂模式”。</w:t>
      </w:r>
      <w:r>
        <w:rPr>
          <w:rFonts w:hint="eastAsia"/>
          <w:sz w:val="21"/>
          <w:szCs w:val="21"/>
          <w:u w:val="single"/>
          <w:lang w:val="en-US" w:eastAsia="zh-CN"/>
        </w:rPr>
        <w:t>课堂模式</w:t>
      </w:r>
      <w:r>
        <w:rPr>
          <w:rFonts w:hint="eastAsia"/>
          <w:sz w:val="21"/>
          <w:szCs w:val="21"/>
          <w:lang w:val="en-US" w:eastAsia="zh-CN"/>
        </w:rPr>
        <w:t>时展示为学生视角。</w:t>
      </w:r>
    </w:p>
    <w:p>
      <w:pPr>
        <w:spacing w:after="156" w:afterLines="50"/>
        <w:jc w:val="center"/>
      </w:pPr>
      <w:r>
        <w:drawing>
          <wp:inline distT="0" distB="0" distL="114300" distR="114300">
            <wp:extent cx="6059170" cy="221615"/>
            <wp:effectExtent l="0" t="0" r="17780" b="6985"/>
            <wp:docPr id="1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7"/>
                    <pic:cNvPicPr>
                      <a:picLocks noChangeAspect="1"/>
                    </pic:cNvPicPr>
                  </pic:nvPicPr>
                  <pic:blipFill>
                    <a:blip r:embed="rId92"/>
                    <a:srcRect b="8639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/>
        <w:jc w:val="center"/>
        <w:rPr>
          <w:rFonts w:hint="eastAsia" w:cs="Times New Roman" w:eastAsiaTheme="minorEastAsia"/>
          <w:sz w:val="21"/>
          <w:szCs w:val="21"/>
          <w:lang w:eastAsia="zh-CN"/>
        </w:rPr>
      </w:pPr>
      <w:r>
        <w:rPr>
          <w:rFonts w:hint="eastAsia" w:cs="Times New Roman"/>
          <w:sz w:val="21"/>
          <w:szCs w:val="21"/>
        </w:rPr>
        <w:t>图</w:t>
      </w:r>
      <w:r>
        <w:rPr>
          <w:rFonts w:cs="Times New Roman"/>
          <w:sz w:val="21"/>
          <w:szCs w:val="21"/>
        </w:rPr>
        <w:t>1</w:t>
      </w:r>
      <w:r>
        <w:rPr>
          <w:rFonts w:hint="eastAsia" w:cs="Times New Roman"/>
          <w:sz w:val="21"/>
          <w:szCs w:val="21"/>
          <w:lang w:val="en-US" w:eastAsia="zh-CN"/>
        </w:rPr>
        <w:t>1</w:t>
      </w:r>
      <w:r>
        <w:rPr>
          <w:rFonts w:hint="eastAsia" w:cs="Times New Roman"/>
          <w:sz w:val="21"/>
          <w:szCs w:val="21"/>
        </w:rPr>
        <w:t xml:space="preserve"> </w:t>
      </w:r>
      <w:r>
        <w:rPr>
          <w:rFonts w:hint="eastAsia" w:cs="Times New Roman"/>
          <w:sz w:val="21"/>
          <w:szCs w:val="21"/>
          <w:lang w:eastAsia="zh-CN"/>
        </w:rPr>
        <w:t>快捷按键</w:t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br w:type="page"/>
      </w:r>
    </w:p>
    <w:p>
      <w:pPr>
        <w:rPr>
          <w:rFonts w:hint="default" w:eastAsiaTheme="minorEastAsia"/>
          <w:b/>
          <w:bCs/>
          <w:sz w:val="36"/>
          <w:lang w:val="en-US" w:eastAsia="zh-CN"/>
        </w:rPr>
      </w:pPr>
      <w:r>
        <w:rPr>
          <w:rFonts w:hint="eastAsia"/>
          <w:b/>
          <w:bCs/>
          <w:sz w:val="36"/>
          <w:lang w:val="en-US" w:eastAsia="zh-CN"/>
        </w:rPr>
        <w:t>七</w:t>
      </w:r>
      <w:r>
        <w:rPr>
          <w:rFonts w:hint="eastAsia"/>
          <w:b/>
          <w:bCs/>
          <w:sz w:val="36"/>
        </w:rPr>
        <w:t>、</w:t>
      </w:r>
      <w:r>
        <w:rPr>
          <w:rFonts w:hint="eastAsia"/>
          <w:b/>
          <w:bCs/>
          <w:sz w:val="36"/>
          <w:lang w:val="en-US" w:eastAsia="zh-CN"/>
        </w:rPr>
        <w:t>空间结构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2138680" cy="4680585"/>
            <wp:effectExtent l="9525" t="9525" r="23495" b="15240"/>
            <wp:docPr id="1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468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空间结构杆件多，又必须投影至二维平面显示，自由度难以直观表现，空间结构模型仅用于演示，不会支持交互和其它智能化功能。建模方式与一般平面体系有较大的区别。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default"/>
          <w:i/>
          <w:i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系统提供</w:t>
      </w:r>
      <w:r>
        <w:rPr>
          <w:rFonts w:hint="eastAsia"/>
          <w:sz w:val="21"/>
          <w:szCs w:val="21"/>
          <w:lang w:val="en-US" w:eastAsia="zh-CN"/>
        </w:rPr>
        <w:t>对规律空间杆系结构快速建模。</w:t>
      </w:r>
      <w:r>
        <w:rPr>
          <w:rFonts w:hint="eastAsia"/>
          <w:i/>
          <w:iCs/>
          <w:sz w:val="21"/>
          <w:szCs w:val="21"/>
          <w:lang w:val="en-US" w:eastAsia="zh-CN"/>
        </w:rPr>
        <w:t>用户可在系统提供功能支持范围内，对规则框架模型进行二次修改。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 xml:space="preserve">初始模型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输入层数、跨数、进深数，三值分别对应于整体直角坐标系统下的Z、X和Y轴。用户需要自行规范结构相应坐标方向。层高、开间、进深可分别至系统界面左下表中修改对应数值。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截面参数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“宽”为截面坐标-y向；“高”为截面坐标-z向。参数###只能输入数值（单位米）。</w:t>
      </w:r>
    </w:p>
    <w:tbl>
      <w:tblPr>
        <w:tblStyle w:val="9"/>
        <w:tblW w:w="8660" w:type="dxa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"/>
        <w:gridCol w:w="2769"/>
        <w:gridCol w:w="5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输入内容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="0" w:leftChars="0" w:firstLine="369" w:firstLineChars="175"/>
              <w:jc w:val="both"/>
              <w:rPr>
                <w:rFonts w:hint="default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A：###*###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矩形截面，“宽”*“高”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D：###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圆形截面，</w:t>
            </w:r>
            <w:r>
              <w:rPr>
                <w:rFonts w:hint="eastAsia"/>
                <w:color w:val="0000FF"/>
                <w:sz w:val="21"/>
                <w:szCs w:val="21"/>
                <w:lang w:val="en-US" w:eastAsia="zh-CN"/>
              </w:rPr>
              <w:t>“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直径”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I：###*###*###*###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工形截面，“宽”*“高”*“腹板厚”*“翼缘厚”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R：###*###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圆管截面，“外直径”*“壁厚”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P：###*###*###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矩管截面，“宽”*“高”*“壁厚”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T：###*###*###*###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T形截面，“宽”*“高”*“腹板厚”*“翼缘厚”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L：###*###*###*###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L形截面，“宽”*“高”*“腹板厚”*“翼缘厚”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ind w:left="0" w:leftChars="0" w:firstLine="0" w:firstLineChars="0"/>
              <w:jc w:val="center"/>
              <w:rPr>
                <w:rFonts w:hint="eastAsia" w:ascii="Times New Roman" w:hAnsi="Times New Roman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2769" w:type="dxa"/>
            <w:tcMar>
              <w:top w:w="0" w:type="dxa"/>
              <w:left w:w="57" w:type="dxa"/>
              <w:bottom w:w="0" w:type="dxa"/>
              <w:right w:w="0" w:type="dxa"/>
            </w:tcMar>
            <w:vAlign w:val="top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2060"/>
                <w:sz w:val="21"/>
                <w:szCs w:val="21"/>
                <w:lang w:val="en-US" w:eastAsia="zh-CN"/>
              </w:rPr>
              <w:t>C：###*###*###*###</w:t>
            </w:r>
          </w:p>
        </w:tc>
        <w:tc>
          <w:tcPr>
            <w:tcW w:w="5540" w:type="dxa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</w:tcPr>
          <w:p>
            <w:pPr>
              <w:widowControl w:val="0"/>
              <w:numPr>
                <w:ilvl w:val="0"/>
                <w:numId w:val="0"/>
              </w:numPr>
              <w:adjustRightInd w:val="0"/>
              <w:snapToGrid w:val="0"/>
              <w:spacing w:line="240" w:lineRule="auto"/>
              <w:jc w:val="both"/>
              <w:rPr>
                <w:rFonts w:hint="default" w:ascii="Times New Roman" w:hAnsi="Times New Roman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C形截面，“宽”*“高”*“腹板厚”*“翼缘厚”</w:t>
            </w:r>
          </w:p>
        </w:tc>
      </w:tr>
    </w:tbl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default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材料参数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下拉框选择“混凝土”或“钢”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混凝土弹模：E=3.0</w:t>
      </w:r>
      <w:r>
        <w:rPr>
          <w:rFonts w:hint="default" w:ascii="Arial" w:hAnsi="Arial" w:cs="Arial"/>
          <w:sz w:val="21"/>
          <w:szCs w:val="21"/>
          <w:lang w:val="en-US" w:eastAsia="zh-CN"/>
        </w:rPr>
        <w:t>×</w:t>
      </w:r>
      <w:r>
        <w:rPr>
          <w:rFonts w:hint="eastAsia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vertAlign w:val="superscript"/>
          <w:lang w:val="en-US" w:eastAsia="zh-CN"/>
        </w:rPr>
        <w:t>4</w:t>
      </w:r>
      <w:r>
        <w:rPr>
          <w:rFonts w:hint="eastAsia"/>
          <w:sz w:val="21"/>
          <w:szCs w:val="21"/>
          <w:lang w:val="en-US" w:eastAsia="zh-CN"/>
        </w:rPr>
        <w:t>MPa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钢材弹模：E=2.0</w:t>
      </w:r>
      <w:r>
        <w:rPr>
          <w:rFonts w:hint="default" w:ascii="Arial" w:hAnsi="Arial" w:cs="Arial"/>
          <w:sz w:val="21"/>
          <w:szCs w:val="21"/>
          <w:lang w:val="en-US" w:eastAsia="zh-CN"/>
        </w:rPr>
        <w:t>×</w:t>
      </w:r>
      <w:r>
        <w:rPr>
          <w:rFonts w:hint="eastAsia"/>
          <w:sz w:val="21"/>
          <w:szCs w:val="21"/>
          <w:lang w:val="en-US" w:eastAsia="zh-CN"/>
        </w:rPr>
        <w:t>10</w:t>
      </w:r>
      <w:r>
        <w:rPr>
          <w:rFonts w:hint="eastAsia"/>
          <w:sz w:val="21"/>
          <w:szCs w:val="21"/>
          <w:vertAlign w:val="superscript"/>
          <w:lang w:val="en-US" w:eastAsia="zh-CN"/>
        </w:rPr>
        <w:t>5</w:t>
      </w:r>
      <w:r>
        <w:rPr>
          <w:rFonts w:hint="eastAsia"/>
          <w:sz w:val="21"/>
          <w:szCs w:val="21"/>
          <w:lang w:val="en-US" w:eastAsia="zh-CN"/>
        </w:rPr>
        <w:t>MPa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在尺寸表中，修改相应的数值，确定后可获取规则框架结构的模型。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规则框架结构初期版本主要考虑对动力分析的支持，以用于理解和认识相应体系的动力基本特征，并支持三向地震分析。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after="48" w:afterLines="15"/>
        <w:ind w:firstLine="420" w:firstLineChars="200"/>
        <w:textAlignment w:val="auto"/>
        <w:rPr>
          <w:rFonts w:hint="default"/>
          <w:sz w:val="21"/>
          <w:szCs w:val="21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3990" w:space="420"/>
            <w:col w:w="9548"/>
          </w:cols>
          <w:docGrid w:type="lines" w:linePitch="312" w:charSpace="0"/>
        </w:sectPr>
      </w:pPr>
      <w:r>
        <w:rPr>
          <w:rFonts w:hint="eastAsia"/>
          <w:sz w:val="21"/>
          <w:szCs w:val="21"/>
          <w:lang w:val="en-US" w:eastAsia="zh-CN"/>
        </w:rPr>
        <w:t>目前系统仍不包含板壳单元元，框架结构动力分析时，无法忽略楼面板的约束效应，建议进入动力分析时，指定刚性楼层，还可缩减体系动力自由度。</w:t>
      </w:r>
    </w:p>
    <w:p>
      <w:pPr>
        <w:rPr>
          <w:b/>
          <w:bCs/>
          <w:sz w:val="44"/>
          <w:szCs w:val="52"/>
        </w:rPr>
      </w:pPr>
    </w:p>
    <w:p>
      <w:pPr>
        <w:rPr>
          <w:b/>
          <w:bCs/>
          <w:sz w:val="44"/>
          <w:szCs w:val="52"/>
        </w:rPr>
      </w:pP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eastAsia="zh-CN"/>
        </w:rPr>
      </w:pPr>
      <w:r>
        <w:rPr>
          <w:rFonts w:hint="eastAsia"/>
          <w:b/>
          <w:bCs/>
          <w:sz w:val="72"/>
          <w:szCs w:val="144"/>
          <w:lang w:val="en-US" w:eastAsia="zh-CN"/>
        </w:rPr>
        <w:t>分析</w:t>
      </w:r>
      <w:r>
        <w:rPr>
          <w:rFonts w:hint="eastAsia"/>
          <w:b/>
          <w:bCs/>
          <w:sz w:val="72"/>
          <w:szCs w:val="144"/>
          <w:lang w:eastAsia="zh-CN"/>
        </w:rPr>
        <w:t>显示</w:t>
      </w:r>
    </w:p>
    <w:p>
      <w:pPr>
        <w:rPr>
          <w:b/>
          <w:bCs/>
          <w:sz w:val="44"/>
          <w:szCs w:val="52"/>
        </w:rPr>
      </w:pP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分析模型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梁和刚架内力、变形</w:t>
      </w:r>
      <w:r>
        <w:rPr>
          <w:rFonts w:hint="eastAsia"/>
          <w:b/>
          <w:bCs/>
          <w:sz w:val="44"/>
          <w:szCs w:val="44"/>
          <w:lang w:val="en-US" w:eastAsia="zh-CN"/>
        </w:rPr>
        <w:t>分析</w:t>
      </w:r>
      <w:r>
        <w:rPr>
          <w:rFonts w:hint="eastAsia"/>
          <w:b/>
          <w:bCs/>
          <w:sz w:val="44"/>
          <w:szCs w:val="44"/>
        </w:rPr>
        <w:t>显示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桁架内力、变形</w:t>
      </w:r>
      <w:r>
        <w:rPr>
          <w:rFonts w:hint="eastAsia"/>
          <w:b/>
          <w:bCs/>
          <w:sz w:val="44"/>
          <w:szCs w:val="44"/>
          <w:lang w:val="en-US" w:eastAsia="zh-CN"/>
        </w:rPr>
        <w:t>分析</w:t>
      </w:r>
      <w:r>
        <w:rPr>
          <w:rFonts w:hint="eastAsia"/>
          <w:b/>
          <w:bCs/>
          <w:sz w:val="44"/>
          <w:szCs w:val="44"/>
        </w:rPr>
        <w:t>显示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三铰拱内力</w:t>
      </w:r>
      <w:r>
        <w:rPr>
          <w:rFonts w:hint="eastAsia"/>
          <w:b/>
          <w:bCs/>
          <w:sz w:val="44"/>
          <w:szCs w:val="44"/>
          <w:lang w:val="en-US" w:eastAsia="zh-CN"/>
        </w:rPr>
        <w:t>分析</w:t>
      </w:r>
      <w:r>
        <w:rPr>
          <w:rFonts w:hint="eastAsia"/>
          <w:b/>
          <w:bCs/>
          <w:sz w:val="44"/>
          <w:szCs w:val="44"/>
        </w:rPr>
        <w:t>显示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ind w:left="5880" w:leftChars="0"/>
        <w:rPr>
          <w:rFonts w:hint="eastAsia"/>
          <w:b/>
          <w:bCs/>
          <w:sz w:val="44"/>
          <w:szCs w:val="44"/>
        </w:rPr>
      </w:pPr>
    </w:p>
    <w:p>
      <w:pPr>
        <w:adjustRightInd w:val="0"/>
        <w:snapToGrid w:val="0"/>
        <w:spacing w:line="276" w:lineRule="auto"/>
        <w:ind w:left="3160"/>
        <w:rPr>
          <w:b/>
          <w:bCs/>
          <w:sz w:val="44"/>
          <w:szCs w:val="52"/>
        </w:rPr>
      </w:pPr>
    </w:p>
    <w:p>
      <w:pPr>
        <w:widowControl/>
        <w:jc w:val="left"/>
        <w:rPr>
          <w:b/>
          <w:bCs/>
          <w:sz w:val="44"/>
          <w:szCs w:val="52"/>
        </w:rPr>
        <w:sectPr>
          <w:headerReference r:id="rId8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sz w:val="36"/>
          <w:szCs w:val="32"/>
          <w:lang w:val="en-US" w:eastAsia="zh-CN"/>
        </w:rPr>
      </w:pPr>
      <w:r>
        <w:rPr>
          <w:rFonts w:hint="eastAsia"/>
          <w:b/>
          <w:bCs/>
          <w:sz w:val="36"/>
          <w:szCs w:val="32"/>
          <w:lang w:val="en-US" w:eastAsia="zh-CN"/>
        </w:rPr>
        <w:t>分析模型</w:t>
      </w:r>
    </w:p>
    <w:p>
      <w:pPr>
        <w:jc w:val="center"/>
        <w:rPr>
          <w:rFonts w:hint="eastAsia"/>
          <w:b/>
          <w:bCs/>
          <w:sz w:val="36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textAlignment w:val="auto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一、分析模型支持自建模型中所有对象，其在当前荷载作用下应能保持平衡。包括梁、刚架、理想桁架、拱等。若为可变体系，则不提供分析子项。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textAlignment w:val="auto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二、支持内部几何不变的无支座自平衡体系（</w:t>
      </w:r>
      <w:r>
        <w:rPr>
          <w:rFonts w:hint="eastAsia"/>
          <w:b/>
          <w:bCs/>
          <w:color w:val="0000FF"/>
          <w:sz w:val="21"/>
          <w:szCs w:val="24"/>
          <w:lang w:val="en-US" w:eastAsia="zh-CN"/>
        </w:rPr>
        <w:t>自平衡，指作用的所有外荷载在此内部不变体系共同构成平衡力系</w:t>
      </w:r>
      <w:r>
        <w:rPr>
          <w:rFonts w:hint="eastAsia"/>
          <w:sz w:val="21"/>
          <w:szCs w:val="24"/>
          <w:lang w:val="en-US" w:eastAsia="zh-CN"/>
        </w:rPr>
        <w:t>），如下图所示。对无支体系，变形中存在任意的整体刚体位移，系统只选择某一简单结果绘制变形图。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jc w:val="center"/>
        <w:textAlignment w:val="auto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drawing>
          <wp:inline distT="0" distB="0" distL="114300" distR="114300">
            <wp:extent cx="1819910" cy="1219200"/>
            <wp:effectExtent l="0" t="0" r="0" b="0"/>
            <wp:docPr id="148" name="图片 14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0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  <w:lang w:val="en-US" w:eastAsia="zh-CN"/>
        </w:rPr>
        <w:drawing>
          <wp:inline distT="0" distB="0" distL="114300" distR="114300">
            <wp:extent cx="1748790" cy="1297305"/>
            <wp:effectExtent l="0" t="0" r="3810" b="17145"/>
            <wp:docPr id="152" name="图片 1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textAlignment w:val="auto"/>
        <w:rPr>
          <w:rFonts w:hint="default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无支座自平衡体系，只允许进行静力工况下的内力、变形分析，不能进行力法、位移法和力矩分配法演示，也不能进行动力分析。但对某些体系，对称简化后支持相应的交互作业。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textAlignment w:val="auto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三、分析模型可用于分析和演示，但与题库模型不同之处在于，其不带题干，所以不能直接用于交互作业。还需在“智能题库”模块中进行题目建设，赋予其题干信息后，方可作为交互作业发布。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0" w:leftChars="0" w:firstLine="420" w:firstLineChars="200"/>
        <w:textAlignment w:val="auto"/>
        <w:rPr>
          <w:rFonts w:hint="eastAsia"/>
          <w:sz w:val="21"/>
          <w:szCs w:val="24"/>
          <w:lang w:val="en-US" w:eastAsia="zh-CN"/>
        </w:rPr>
      </w:pPr>
      <w:r>
        <w:rPr>
          <w:rFonts w:hint="eastAsia"/>
          <w:sz w:val="21"/>
          <w:szCs w:val="24"/>
          <w:lang w:val="en-US" w:eastAsia="zh-CN"/>
        </w:rPr>
        <w:t>四、分析模型除“无铰拱”和“空间模型”外，均可保存于服务器上“用户自建模型”中。本用户可任意访问，也仅限于本用户访问。</w:t>
      </w:r>
      <w:r>
        <w:rPr>
          <w:rFonts w:hint="eastAsia"/>
          <w:color w:val="0000FF"/>
          <w:sz w:val="21"/>
          <w:szCs w:val="24"/>
          <w:lang w:val="en-US" w:eastAsia="zh-CN"/>
        </w:rPr>
        <w:t>后续开放用户间模型分享/共享功能</w:t>
      </w:r>
      <w:r>
        <w:rPr>
          <w:rFonts w:hint="eastAsia"/>
          <w:sz w:val="21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default"/>
          <w:sz w:val="21"/>
          <w:szCs w:val="24"/>
          <w:lang w:val="en-US" w:eastAsia="zh-CN"/>
        </w:rPr>
        <w:sectPr>
          <w:headerReference r:id="rId9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br w:type="page"/>
      </w:r>
    </w:p>
    <w:p>
      <w:pPr>
        <w:spacing w:after="156" w:afterLines="50"/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梁和刚架内力、变形显示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3246"/>
        <w:gridCol w:w="3140"/>
        <w:gridCol w:w="2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3000" w:type="dxa"/>
            <w:vAlign w:val="bottom"/>
          </w:tcPr>
          <w:p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812290" cy="1125220"/>
                  <wp:effectExtent l="0" t="0" r="16510" b="17780"/>
                  <wp:docPr id="17" name="图片 17" descr="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0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rcRect l="3873" t="1771" r="2461" b="15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113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模型图</w:t>
            </w:r>
          </w:p>
        </w:tc>
        <w:tc>
          <w:tcPr>
            <w:tcW w:w="3246" w:type="dxa"/>
            <w:vAlign w:val="bottom"/>
          </w:tcPr>
          <w:p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866900" cy="1128395"/>
                  <wp:effectExtent l="0" t="0" r="0" b="14605"/>
                  <wp:docPr id="22" name="图片 22" descr="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02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rcRect l="3335" r="5019" b="33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3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剪力图</w:t>
            </w:r>
          </w:p>
        </w:tc>
        <w:tc>
          <w:tcPr>
            <w:tcW w:w="3140" w:type="dxa"/>
            <w:vAlign w:val="bottom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749425" cy="1218565"/>
                  <wp:effectExtent l="0" t="0" r="0" b="635"/>
                  <wp:docPr id="27" name="图片 27" descr="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03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rcRect b="26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838" cy="121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弯矩图</w:t>
            </w:r>
          </w:p>
        </w:tc>
        <w:tc>
          <w:tcPr>
            <w:tcW w:w="2946" w:type="dxa"/>
            <w:vAlign w:val="bottom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744345" cy="948055"/>
                  <wp:effectExtent l="0" t="0" r="8255" b="4445"/>
                  <wp:docPr id="28" name="图片 28" descr="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104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rcRect t="2281" r="5053" b="33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544" cy="97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变形图</w:t>
            </w:r>
          </w:p>
        </w:tc>
      </w:tr>
    </w:tbl>
    <w:p>
      <w:pPr>
        <w:spacing w:after="156" w:afterLines="50"/>
        <w:rPr>
          <w:rFonts w:hint="eastAsia"/>
          <w:b/>
          <w:bCs/>
          <w:sz w:val="32"/>
          <w:szCs w:val="32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firstLine="482" w:firstLineChars="200"/>
        <w:textAlignment w:val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内力图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内力图显示与结构力学教学习惯一致，即：剪力、轴力图标注带正负号数值，弯矩值表示在杆件受拉侧。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内力图为线性变化时，标注两端控制截面内力值；</w:t>
      </w:r>
      <w:r>
        <w:rPr>
          <w:rFonts w:hint="eastAsia"/>
          <w:sz w:val="21"/>
          <w:szCs w:val="24"/>
          <w:lang w:val="en-US" w:eastAsia="zh-CN"/>
        </w:rPr>
        <w:t>内力图为</w:t>
      </w:r>
      <w:r>
        <w:rPr>
          <w:rFonts w:hint="eastAsia"/>
          <w:sz w:val="21"/>
          <w:szCs w:val="24"/>
        </w:rPr>
        <w:t>常数时，在杆段中部标注数值；</w:t>
      </w:r>
      <w:r>
        <w:rPr>
          <w:rFonts w:hint="eastAsia"/>
          <w:sz w:val="21"/>
          <w:szCs w:val="24"/>
          <w:lang w:val="en-US" w:eastAsia="zh-CN"/>
        </w:rPr>
        <w:t>内力图</w:t>
      </w:r>
      <w:r>
        <w:rPr>
          <w:rFonts w:hint="eastAsia"/>
          <w:sz w:val="21"/>
          <w:szCs w:val="24"/>
        </w:rPr>
        <w:t>二次曲线变化时，标注两端截面值与跨中叠加值。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文字标注方向与杆件方向一致，位于</w:t>
      </w:r>
      <w:r>
        <w:rPr>
          <w:rFonts w:hint="eastAsia"/>
          <w:sz w:val="21"/>
          <w:szCs w:val="24"/>
          <w:lang w:eastAsia="zh-CN"/>
        </w:rPr>
        <w:t>内力</w:t>
      </w:r>
      <w:r>
        <w:rPr>
          <w:rFonts w:hint="eastAsia"/>
          <w:sz w:val="21"/>
          <w:szCs w:val="24"/>
        </w:rPr>
        <w:t>数值线的顶端或底端（</w:t>
      </w:r>
      <w:r>
        <w:rPr>
          <w:rFonts w:hint="eastAsia"/>
          <w:sz w:val="21"/>
          <w:szCs w:val="24"/>
          <w:lang w:val="en-US" w:eastAsia="zh-CN"/>
        </w:rPr>
        <w:t>偏</w:t>
      </w:r>
      <w:r>
        <w:rPr>
          <w:rFonts w:hint="eastAsia"/>
          <w:sz w:val="21"/>
          <w:szCs w:val="24"/>
        </w:rPr>
        <w:t>离杆</w:t>
      </w:r>
      <w:r>
        <w:rPr>
          <w:rFonts w:hint="eastAsia"/>
          <w:sz w:val="21"/>
          <w:szCs w:val="24"/>
          <w:lang w:val="en-US" w:eastAsia="zh-CN"/>
        </w:rPr>
        <w:t>轴位置</w:t>
      </w:r>
      <w:r>
        <w:rPr>
          <w:rFonts w:hint="eastAsia"/>
          <w:sz w:val="21"/>
          <w:szCs w:val="24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在显示图上</w:t>
      </w:r>
      <w:r>
        <w:rPr>
          <w:rFonts w:hint="eastAsia"/>
          <w:color w:val="0000FF"/>
          <w:sz w:val="21"/>
          <w:szCs w:val="24"/>
        </w:rPr>
        <w:t>“CTRL+鼠标滚轮”</w:t>
      </w:r>
      <w:r>
        <w:rPr>
          <w:rFonts w:hint="eastAsia"/>
          <w:sz w:val="21"/>
          <w:szCs w:val="24"/>
        </w:rPr>
        <w:t>对内力图竖标显示幅度进行</w:t>
      </w:r>
      <w:r>
        <w:rPr>
          <w:rFonts w:hint="eastAsia"/>
          <w:b/>
          <w:bCs/>
          <w:color w:val="0000FF"/>
          <w:sz w:val="21"/>
          <w:szCs w:val="24"/>
        </w:rPr>
        <w:t>缩放操作</w:t>
      </w:r>
      <w:r>
        <w:rPr>
          <w:rFonts w:hint="eastAsia"/>
          <w:sz w:val="21"/>
          <w:szCs w:val="24"/>
        </w:rPr>
        <w:t>。系统</w:t>
      </w:r>
      <w:r>
        <w:rPr>
          <w:rFonts w:hint="eastAsia"/>
          <w:sz w:val="21"/>
          <w:szCs w:val="24"/>
          <w:lang w:val="en-US" w:eastAsia="zh-CN"/>
        </w:rPr>
        <w:t>已</w:t>
      </w:r>
      <w:r>
        <w:rPr>
          <w:rFonts w:hint="eastAsia"/>
          <w:sz w:val="21"/>
          <w:szCs w:val="24"/>
        </w:rPr>
        <w:t>优化处理文字</w:t>
      </w:r>
      <w:r>
        <w:rPr>
          <w:rFonts w:hint="eastAsia"/>
          <w:sz w:val="21"/>
          <w:szCs w:val="24"/>
          <w:lang w:val="en-US" w:eastAsia="zh-CN"/>
        </w:rPr>
        <w:t>间</w:t>
      </w:r>
      <w:r>
        <w:rPr>
          <w:rFonts w:hint="eastAsia"/>
          <w:sz w:val="21"/>
          <w:szCs w:val="24"/>
        </w:rPr>
        <w:t>避让，但在竖标汇集的结点处</w:t>
      </w:r>
      <w:r>
        <w:rPr>
          <w:rFonts w:hint="eastAsia"/>
          <w:sz w:val="21"/>
          <w:szCs w:val="24"/>
          <w:lang w:eastAsia="zh-CN"/>
        </w:rPr>
        <w:t>，</w:t>
      </w:r>
      <w:r>
        <w:rPr>
          <w:rFonts w:hint="eastAsia"/>
          <w:sz w:val="21"/>
          <w:szCs w:val="24"/>
        </w:rPr>
        <w:t>仍可能出现标注文字重叠情况，用户可利用本功能使标注更为显著。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  <w:lang w:eastAsia="zh-CN"/>
        </w:rPr>
      </w:pPr>
      <w:r>
        <w:rPr>
          <w:rFonts w:hint="eastAsia"/>
          <w:sz w:val="21"/>
          <w:szCs w:val="24"/>
          <w:lang w:val="en-US" w:eastAsia="zh-CN"/>
        </w:rPr>
        <w:t>若</w:t>
      </w:r>
      <w:r>
        <w:rPr>
          <w:rFonts w:hint="eastAsia"/>
          <w:sz w:val="21"/>
          <w:szCs w:val="24"/>
          <w:lang w:eastAsia="zh-CN"/>
        </w:rPr>
        <w:t>结构</w:t>
      </w:r>
      <w:r>
        <w:rPr>
          <w:rFonts w:hint="eastAsia"/>
          <w:b/>
          <w:bCs/>
          <w:color w:val="0000FF"/>
          <w:sz w:val="21"/>
          <w:szCs w:val="24"/>
          <w:lang w:eastAsia="zh-CN"/>
        </w:rPr>
        <w:t>杆端内力值</w:t>
      </w:r>
      <w:r>
        <w:rPr>
          <w:rFonts w:hint="eastAsia"/>
          <w:sz w:val="21"/>
          <w:szCs w:val="24"/>
          <w:lang w:eastAsia="zh-CN"/>
        </w:rPr>
        <w:t>差距较大，比例显示</w:t>
      </w:r>
      <w:r>
        <w:rPr>
          <w:rFonts w:hint="eastAsia"/>
          <w:sz w:val="21"/>
          <w:szCs w:val="24"/>
          <w:lang w:val="en-US" w:eastAsia="zh-CN"/>
        </w:rPr>
        <w:t>的</w:t>
      </w:r>
      <w:r>
        <w:rPr>
          <w:rFonts w:hint="eastAsia"/>
          <w:sz w:val="21"/>
          <w:szCs w:val="24"/>
          <w:lang w:eastAsia="zh-CN"/>
        </w:rPr>
        <w:t>图形效果较差；此时可使用</w:t>
      </w:r>
      <w:r>
        <w:rPr>
          <w:rFonts w:hint="eastAsia"/>
          <w:b/>
          <w:bCs/>
          <w:color w:val="0000FF"/>
          <w:sz w:val="21"/>
          <w:szCs w:val="24"/>
          <w:lang w:eastAsia="zh-CN"/>
        </w:rPr>
        <w:t>比例异变</w:t>
      </w:r>
      <w:r>
        <w:rPr>
          <w:rFonts w:hint="eastAsia"/>
          <w:sz w:val="21"/>
          <w:szCs w:val="24"/>
          <w:lang w:eastAsia="zh-CN"/>
        </w:rPr>
        <w:t>显示，异变程度越大，</w:t>
      </w:r>
      <w:r>
        <w:rPr>
          <w:rFonts w:hint="eastAsia"/>
          <w:sz w:val="21"/>
          <w:szCs w:val="24"/>
          <w:u w:val="wave"/>
          <w:lang w:val="en-US" w:eastAsia="zh-CN"/>
        </w:rPr>
        <w:t>杆端</w:t>
      </w:r>
      <w:r>
        <w:rPr>
          <w:rFonts w:hint="eastAsia"/>
          <w:sz w:val="21"/>
          <w:szCs w:val="24"/>
          <w:u w:val="wave"/>
          <w:lang w:eastAsia="zh-CN"/>
        </w:rPr>
        <w:t>内力“</w:t>
      </w:r>
      <w:r>
        <w:rPr>
          <w:rFonts w:hint="eastAsia"/>
          <w:sz w:val="21"/>
          <w:szCs w:val="24"/>
          <w:u w:val="wave"/>
          <w:lang w:val="en-US" w:eastAsia="zh-CN"/>
        </w:rPr>
        <w:t>展</w:t>
      </w:r>
      <w:r>
        <w:rPr>
          <w:rFonts w:hint="eastAsia"/>
          <w:sz w:val="21"/>
          <w:szCs w:val="24"/>
          <w:u w:val="wave"/>
          <w:lang w:eastAsia="zh-CN"/>
        </w:rPr>
        <w:t>示”</w:t>
      </w:r>
      <w:r>
        <w:rPr>
          <w:rFonts w:hint="eastAsia"/>
          <w:sz w:val="21"/>
          <w:szCs w:val="24"/>
          <w:lang w:eastAsia="zh-CN"/>
        </w:rPr>
        <w:t>越均匀。</w:t>
      </w:r>
      <w:r>
        <w:rPr>
          <w:rFonts w:hint="eastAsia"/>
          <w:b/>
          <w:bCs/>
          <w:color w:val="FF0000"/>
          <w:sz w:val="21"/>
          <w:szCs w:val="24"/>
          <w:lang w:val="en-US" w:eastAsia="zh-CN"/>
        </w:rPr>
        <w:t>但异变后，杆件内部（二次曲线）内力分布会发生严重畸变，本功能慎用，建议只用于线性内力图</w:t>
      </w:r>
      <w:r>
        <w:rPr>
          <w:rFonts w:hint="eastAsia"/>
          <w:sz w:val="21"/>
          <w:szCs w:val="24"/>
          <w:lang w:val="en-US" w:eastAsia="zh-CN"/>
        </w:rPr>
        <w:t>。</w:t>
      </w:r>
      <w:r>
        <w:rPr>
          <w:rFonts w:hint="eastAsia"/>
          <w:sz w:val="21"/>
          <w:szCs w:val="24"/>
          <w:lang w:eastAsia="zh-CN"/>
        </w:rPr>
        <w:t>下图为异变前后效果。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0" w:firstLineChars="0"/>
        <w:jc w:val="center"/>
        <w:textAlignment w:val="auto"/>
        <w:rPr>
          <w:rFonts w:hint="eastAsia"/>
          <w:sz w:val="21"/>
          <w:szCs w:val="24"/>
          <w:lang w:eastAsia="zh-CN"/>
        </w:rPr>
      </w:pPr>
      <w:r>
        <w:rPr>
          <w:rFonts w:hint="eastAsia"/>
          <w:b/>
          <w:bCs/>
          <w:color w:val="0000FF"/>
          <w:sz w:val="21"/>
          <w:szCs w:val="24"/>
          <w:lang w:eastAsia="zh-CN"/>
        </w:rPr>
        <w:t>比例标示</w:t>
      </w:r>
      <w:r>
        <w:rPr>
          <w:rFonts w:hint="eastAsia"/>
          <w:sz w:val="21"/>
          <w:szCs w:val="24"/>
          <w:lang w:eastAsia="zh-CN"/>
        </w:rPr>
        <w:drawing>
          <wp:inline distT="0" distB="0" distL="114300" distR="114300">
            <wp:extent cx="1065530" cy="516890"/>
            <wp:effectExtent l="0" t="0" r="1270" b="16510"/>
            <wp:docPr id="79" name="图片 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"/>
                    <pic:cNvPicPr>
                      <a:picLocks noChangeAspect="1"/>
                    </pic:cNvPicPr>
                  </pic:nvPicPr>
                  <pic:blipFill>
                    <a:blip r:embed="rId100"/>
                    <a:srcRect l="7673" t="1250" r="9802" b="35586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  <w:lang w:val="en-US" w:eastAsia="zh-CN"/>
        </w:rPr>
        <w:t xml:space="preserve">    </w:t>
      </w:r>
      <w:r>
        <w:rPr>
          <w:rFonts w:hint="eastAsia"/>
          <w:sz w:val="21"/>
          <w:szCs w:val="24"/>
          <w:lang w:eastAsia="zh-CN"/>
        </w:rPr>
        <w:drawing>
          <wp:inline distT="0" distB="0" distL="114300" distR="114300">
            <wp:extent cx="1000760" cy="518160"/>
            <wp:effectExtent l="0" t="0" r="8890" b="15240"/>
            <wp:docPr id="80" name="图片 8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"/>
                    <pic:cNvPicPr>
                      <a:picLocks noChangeAspect="1"/>
                    </pic:cNvPicPr>
                  </pic:nvPicPr>
                  <pic:blipFill>
                    <a:blip r:embed="rId101"/>
                    <a:srcRect l="7692" r="10718" b="35586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1"/>
          <w:szCs w:val="24"/>
          <w:lang w:eastAsia="zh-CN"/>
        </w:rPr>
        <w:t>比例异变</w:t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firstLine="482" w:firstLineChars="200"/>
        <w:textAlignment w:val="auto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变形图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48" w:afterLines="15" w:line="300" w:lineRule="auto"/>
        <w:ind w:left="420" w:leftChars="200" w:firstLine="420"/>
        <w:textAlignment w:val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>变形曲线以点划线表示。实际结构</w:t>
      </w:r>
      <w:r>
        <w:rPr>
          <w:rFonts w:hint="eastAsia"/>
          <w:sz w:val="21"/>
          <w:szCs w:val="24"/>
          <w:lang w:val="en-US" w:eastAsia="zh-CN"/>
        </w:rPr>
        <w:t>的</w:t>
      </w:r>
      <w:r>
        <w:rPr>
          <w:rFonts w:hint="eastAsia"/>
          <w:sz w:val="21"/>
          <w:szCs w:val="24"/>
        </w:rPr>
        <w:t>变形和位移非常小，为使显示效果</w:t>
      </w:r>
      <w:r>
        <w:rPr>
          <w:rFonts w:hint="eastAsia"/>
          <w:sz w:val="21"/>
          <w:szCs w:val="24"/>
          <w:lang w:val="en-US" w:eastAsia="zh-CN"/>
        </w:rPr>
        <w:t>清晰</w:t>
      </w:r>
      <w:r>
        <w:rPr>
          <w:rFonts w:hint="eastAsia"/>
          <w:sz w:val="21"/>
          <w:szCs w:val="24"/>
        </w:rPr>
        <w:t>，系统将计算所得变形曲线放大显示，</w:t>
      </w:r>
      <w:r>
        <w:rPr>
          <w:rFonts w:hint="eastAsia"/>
          <w:b/>
          <w:bCs/>
          <w:color w:val="0000FF"/>
          <w:sz w:val="21"/>
          <w:szCs w:val="24"/>
        </w:rPr>
        <w:t>故变形图为示意图</w:t>
      </w:r>
      <w:r>
        <w:rPr>
          <w:rFonts w:hint="eastAsia"/>
          <w:sz w:val="21"/>
          <w:szCs w:val="24"/>
        </w:rPr>
        <w:t>。可</w:t>
      </w:r>
      <w:r>
        <w:rPr>
          <w:rFonts w:hint="eastAsia"/>
          <w:sz w:val="21"/>
          <w:szCs w:val="24"/>
          <w:lang w:eastAsia="zh-CN"/>
        </w:rPr>
        <w:t>利用</w:t>
      </w:r>
      <w:r>
        <w:rPr>
          <w:rFonts w:hint="eastAsia"/>
          <w:sz w:val="21"/>
          <w:szCs w:val="24"/>
        </w:rPr>
        <w:t>“</w:t>
      </w:r>
      <w:r>
        <w:rPr>
          <w:rFonts w:hint="eastAsia"/>
          <w:color w:val="0000FF"/>
          <w:sz w:val="21"/>
          <w:szCs w:val="24"/>
        </w:rPr>
        <w:t>CTRL+鼠标滚轮</w:t>
      </w:r>
      <w:r>
        <w:rPr>
          <w:rFonts w:hint="eastAsia"/>
          <w:sz w:val="21"/>
          <w:szCs w:val="24"/>
        </w:rPr>
        <w:t>”对变形曲线的幅度进行缩放。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79" w:afterLines="25"/>
        <w:jc w:val="center"/>
        <w:textAlignment w:val="auto"/>
        <w:rPr>
          <w:rFonts w:hint="eastAsia"/>
          <w:b/>
          <w:bCs/>
          <w:sz w:val="32"/>
          <w:szCs w:val="32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2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79" w:afterLines="25"/>
        <w:textAlignment w:val="auto"/>
        <w:rPr>
          <w:rFonts w:hint="eastAsia"/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br w:type="page"/>
      </w:r>
    </w:p>
    <w:p>
      <w:pPr>
        <w:spacing w:after="156" w:afterLines="50"/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桁架内力、变形显示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7"/>
        <w:gridCol w:w="3566"/>
        <w:gridCol w:w="3487"/>
        <w:gridCol w:w="34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7" w:type="dxa"/>
            <w:vAlign w:val="bottom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979295" cy="1246505"/>
                  <wp:effectExtent l="0" t="0" r="0" b="0"/>
                  <wp:docPr id="35" name="图片 35" descr="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03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rcRect t="2008" b="129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54" cy="1250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模型图</w:t>
            </w:r>
          </w:p>
        </w:tc>
        <w:tc>
          <w:tcPr>
            <w:tcW w:w="3487" w:type="dxa"/>
            <w:vAlign w:val="bottom"/>
          </w:tcPr>
          <w:p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127250" cy="1165225"/>
                  <wp:effectExtent l="0" t="0" r="0" b="1587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rcRect b="28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177" cy="117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轴力图</w:t>
            </w:r>
          </w:p>
        </w:tc>
        <w:tc>
          <w:tcPr>
            <w:tcW w:w="3487" w:type="dxa"/>
            <w:vAlign w:val="bottom"/>
          </w:tcPr>
          <w:p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976120" cy="996315"/>
                  <wp:effectExtent l="0" t="0" r="0" b="0"/>
                  <wp:docPr id="36" name="图片 36" descr="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04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rcRect t="5270" b="29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04" cy="99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sz w:val="24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轴力图</w:t>
            </w:r>
          </w:p>
        </w:tc>
        <w:tc>
          <w:tcPr>
            <w:tcW w:w="3487" w:type="dxa"/>
            <w:vAlign w:val="bottom"/>
          </w:tcPr>
          <w:p>
            <w:pPr>
              <w:jc w:val="center"/>
              <w:rPr>
                <w:sz w:val="20"/>
                <w:szCs w:val="22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890395" cy="1117600"/>
                  <wp:effectExtent l="0" t="0" r="14605" b="6350"/>
                  <wp:docPr id="34" name="图片 34" descr="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02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t="6034" r="6328" b="19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变形图</w:t>
            </w:r>
          </w:p>
        </w:tc>
      </w:tr>
    </w:tbl>
    <w:p>
      <w:pPr>
        <w:spacing w:after="156" w:afterLines="50"/>
        <w:ind w:left="482"/>
        <w:rPr>
          <w:rFonts w:hint="eastAsia"/>
          <w:b/>
          <w:bCs/>
          <w:sz w:val="24"/>
          <w:szCs w:val="32"/>
        </w:rPr>
      </w:pPr>
    </w:p>
    <w:p>
      <w:pPr>
        <w:numPr>
          <w:ilvl w:val="0"/>
          <w:numId w:val="15"/>
        </w:numPr>
        <w:spacing w:after="156" w:afterLines="50"/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内力图</w:t>
      </w:r>
    </w:p>
    <w:p>
      <w:pPr>
        <w:spacing w:after="156" w:afterLines="50"/>
        <w:ind w:left="420" w:leftChars="200" w:firstLine="367" w:firstLineChars="175"/>
        <w:rPr>
          <w:sz w:val="21"/>
          <w:szCs w:val="24"/>
        </w:rPr>
      </w:pPr>
      <w:r>
        <w:rPr>
          <w:rFonts w:hint="eastAsia"/>
          <w:sz w:val="21"/>
          <w:szCs w:val="24"/>
        </w:rPr>
        <w:t>理想桁架的轴力值直接标注于在杆旁。可采用</w:t>
      </w:r>
      <w:r>
        <w:rPr>
          <w:rFonts w:hint="eastAsia"/>
          <w:b/>
          <w:bCs/>
          <w:color w:val="0000FF"/>
          <w:sz w:val="21"/>
          <w:szCs w:val="24"/>
        </w:rPr>
        <w:t>根号</w:t>
      </w:r>
      <w:r>
        <w:rPr>
          <w:rFonts w:hint="eastAsia"/>
          <w:sz w:val="21"/>
          <w:szCs w:val="24"/>
        </w:rPr>
        <w:t>形式</w:t>
      </w:r>
      <w:r>
        <w:rPr>
          <w:rFonts w:hint="eastAsia"/>
          <w:sz w:val="21"/>
          <w:szCs w:val="24"/>
          <w:lang w:eastAsia="zh-CN"/>
        </w:rPr>
        <w:t>或</w:t>
      </w:r>
      <w:r>
        <w:rPr>
          <w:rFonts w:hint="eastAsia"/>
          <w:b/>
          <w:bCs/>
          <w:color w:val="0000FF"/>
          <w:sz w:val="21"/>
          <w:szCs w:val="24"/>
        </w:rPr>
        <w:t>小数</w:t>
      </w:r>
      <w:r>
        <w:rPr>
          <w:rFonts w:hint="eastAsia"/>
          <w:sz w:val="21"/>
          <w:szCs w:val="24"/>
        </w:rPr>
        <w:t>形式标注。</w:t>
      </w:r>
    </w:p>
    <w:p>
      <w:pPr>
        <w:numPr>
          <w:ilvl w:val="0"/>
          <w:numId w:val="15"/>
        </w:numPr>
        <w:spacing w:after="156" w:afterLines="50"/>
        <w:ind w:firstLine="482" w:firstLineChars="20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变形图</w:t>
      </w:r>
    </w:p>
    <w:p>
      <w:pPr>
        <w:spacing w:after="156" w:afterLines="50"/>
        <w:ind w:firstLine="840" w:firstLineChars="400"/>
        <w:rPr>
          <w:sz w:val="21"/>
          <w:szCs w:val="24"/>
        </w:rPr>
      </w:pPr>
      <w:r>
        <w:rPr>
          <w:rFonts w:hint="eastAsia"/>
          <w:sz w:val="21"/>
          <w:szCs w:val="24"/>
        </w:rPr>
        <w:t>变形曲线以点划线表示。</w:t>
      </w:r>
    </w:p>
    <w:p>
      <w:pPr>
        <w:spacing w:after="156" w:afterLines="50"/>
        <w:jc w:val="center"/>
        <w:rPr>
          <w:rFonts w:hint="eastAsia"/>
          <w:sz w:val="21"/>
          <w:szCs w:val="24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center"/>
        <w:rPr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三铰拱内力显示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7"/>
        <w:gridCol w:w="4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7" w:type="dxa"/>
            <w:vAlign w:val="bottom"/>
          </w:tcPr>
          <w:p>
            <w:pPr>
              <w:jc w:val="center"/>
              <w:rPr>
                <w:rFonts w:hint="eastAsia" w:eastAsiaTheme="minorEastAsia"/>
                <w:b/>
                <w:bCs/>
                <w:sz w:val="36"/>
                <w:szCs w:val="32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36"/>
                <w:szCs w:val="32"/>
                <w:lang w:eastAsia="zh-CN"/>
              </w:rPr>
              <w:drawing>
                <wp:inline distT="0" distB="0" distL="114300" distR="114300">
                  <wp:extent cx="2530475" cy="1223010"/>
                  <wp:effectExtent l="0" t="0" r="0" b="0"/>
                  <wp:docPr id="23" name="图片 2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模型图</w:t>
            </w:r>
          </w:p>
        </w:tc>
        <w:tc>
          <w:tcPr>
            <w:tcW w:w="4205" w:type="dxa"/>
            <w:vAlign w:val="bottom"/>
          </w:tcPr>
          <w:p>
            <w:pPr>
              <w:jc w:val="center"/>
              <w:rPr>
                <w:rFonts w:hint="eastAsia" w:eastAsiaTheme="minorEastAsia"/>
                <w:b/>
                <w:bCs/>
                <w:sz w:val="36"/>
                <w:szCs w:val="32"/>
                <w:lang w:eastAsia="zh-CN"/>
              </w:rPr>
            </w:pPr>
            <w:r>
              <w:rPr>
                <w:rFonts w:hint="eastAsia" w:eastAsiaTheme="minorEastAsia"/>
                <w:b/>
                <w:bCs/>
                <w:sz w:val="36"/>
                <w:szCs w:val="32"/>
                <w:lang w:eastAsia="zh-CN"/>
              </w:rPr>
              <w:drawing>
                <wp:inline distT="0" distB="0" distL="114300" distR="114300">
                  <wp:extent cx="2508250" cy="1234440"/>
                  <wp:effectExtent l="0" t="0" r="0" b="3175"/>
                  <wp:docPr id="25" name="图片 2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36"/>
                <w:szCs w:val="32"/>
              </w:rPr>
            </w:pPr>
            <w:r>
              <w:rPr>
                <w:rFonts w:hint="eastAsia"/>
                <w:sz w:val="20"/>
                <w:szCs w:val="22"/>
              </w:rPr>
              <w:t>轴力图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57" w:type="dxa"/>
            <w:vAlign w:val="bottom"/>
          </w:tcPr>
          <w:p>
            <w:pPr>
              <w:jc w:val="center"/>
              <w:rPr>
                <w:rFonts w:hint="eastAsia"/>
                <w:sz w:val="20"/>
                <w:szCs w:val="22"/>
              </w:rPr>
            </w:pPr>
            <w:r>
              <w:rPr>
                <w:rFonts w:hint="eastAsia"/>
                <w:sz w:val="20"/>
                <w:szCs w:val="22"/>
              </w:rPr>
              <w:drawing>
                <wp:inline distT="0" distB="0" distL="114300" distR="114300">
                  <wp:extent cx="2415540" cy="1426845"/>
                  <wp:effectExtent l="0" t="0" r="0" b="1905"/>
                  <wp:docPr id="26" name="图片 2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0"/>
                <w:szCs w:val="22"/>
              </w:rPr>
              <w:t>剪力图</w:t>
            </w:r>
          </w:p>
        </w:tc>
        <w:tc>
          <w:tcPr>
            <w:tcW w:w="4205" w:type="dxa"/>
            <w:vAlign w:val="bottom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55545" cy="1238885"/>
                  <wp:effectExtent l="0" t="0" r="0" b="18415"/>
                  <wp:docPr id="29" name="图片 2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sz w:val="20"/>
                <w:szCs w:val="22"/>
              </w:rPr>
              <w:t>弯矩图</w:t>
            </w:r>
          </w:p>
        </w:tc>
      </w:tr>
    </w:tbl>
    <w:p>
      <w:pPr>
        <w:spacing w:after="156" w:afterLines="50"/>
        <w:ind w:left="420" w:leftChars="200"/>
        <w:rPr>
          <w:b/>
          <w:bCs/>
          <w:sz w:val="24"/>
          <w:szCs w:val="32"/>
        </w:rPr>
      </w:pPr>
    </w:p>
    <w:p>
      <w:pPr>
        <w:spacing w:after="156" w:afterLines="50"/>
        <w:ind w:left="420" w:leftChars="200" w:firstLine="420"/>
        <w:rPr>
          <w:rFonts w:hint="eastAsia"/>
          <w:sz w:val="21"/>
          <w:szCs w:val="21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spacing w:after="156" w:afterLines="50"/>
        <w:ind w:left="420" w:leftChars="200"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三铰拱的轴线为</w:t>
      </w:r>
      <w:r>
        <w:rPr>
          <w:rFonts w:hint="eastAsia"/>
          <w:sz w:val="21"/>
          <w:szCs w:val="21"/>
          <w:lang w:val="en-US" w:eastAsia="zh-CN"/>
        </w:rPr>
        <w:t>二次</w:t>
      </w:r>
      <w:r>
        <w:rPr>
          <w:rFonts w:hint="eastAsia"/>
          <w:sz w:val="21"/>
          <w:szCs w:val="21"/>
        </w:rPr>
        <w:t>曲线</w:t>
      </w:r>
      <w:r>
        <w:rPr>
          <w:rFonts w:hint="eastAsia"/>
          <w:sz w:val="21"/>
          <w:szCs w:val="21"/>
          <w:lang w:val="en-US" w:eastAsia="zh-CN"/>
        </w:rPr>
        <w:t>或圆弧</w:t>
      </w:r>
      <w:r>
        <w:rPr>
          <w:rFonts w:hint="eastAsia"/>
          <w:sz w:val="21"/>
          <w:szCs w:val="21"/>
        </w:rPr>
        <w:t>，系统在多个截面处标注内力图表示，包括</w:t>
      </w:r>
      <w:r>
        <w:rPr>
          <w:rFonts w:hint="eastAsia"/>
          <w:b/>
          <w:bCs/>
          <w:color w:val="0000FF"/>
          <w:sz w:val="21"/>
          <w:szCs w:val="21"/>
        </w:rPr>
        <w:t>内力值突变截面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b/>
          <w:bCs/>
          <w:color w:val="0000FF"/>
          <w:sz w:val="21"/>
          <w:szCs w:val="21"/>
        </w:rPr>
        <w:t>内力极值</w:t>
      </w:r>
      <w:r>
        <w:rPr>
          <w:rFonts w:hint="eastAsia"/>
          <w:sz w:val="21"/>
          <w:szCs w:val="21"/>
        </w:rPr>
        <w:t>处，</w:t>
      </w:r>
      <w:r>
        <w:rPr>
          <w:rFonts w:hint="eastAsia"/>
          <w:sz w:val="21"/>
          <w:szCs w:val="21"/>
          <w:lang w:eastAsia="zh-CN"/>
        </w:rPr>
        <w:t>控制</w:t>
      </w:r>
      <w:r>
        <w:rPr>
          <w:rFonts w:hint="eastAsia"/>
          <w:sz w:val="21"/>
          <w:szCs w:val="21"/>
        </w:rPr>
        <w:t>截面内力竖标用深色显示。</w:t>
      </w:r>
      <w:r>
        <w:rPr>
          <w:rFonts w:hint="eastAsia"/>
          <w:sz w:val="21"/>
          <w:szCs w:val="21"/>
          <w:lang w:eastAsia="zh-CN"/>
        </w:rPr>
        <w:t>内力变化值</w:t>
      </w:r>
      <w:r>
        <w:rPr>
          <w:rFonts w:hint="eastAsia"/>
          <w:sz w:val="21"/>
          <w:szCs w:val="21"/>
          <w:lang w:val="en-US" w:eastAsia="zh-CN"/>
        </w:rPr>
        <w:t>突变点较多时，</w:t>
      </w:r>
      <w:r>
        <w:rPr>
          <w:rFonts w:hint="eastAsia"/>
          <w:sz w:val="21"/>
          <w:szCs w:val="21"/>
          <w:lang w:eastAsia="zh-CN"/>
        </w:rPr>
        <w:t>标注可能重叠，建议三铰拱内力显示时，内力</w:t>
      </w:r>
      <w:r>
        <w:rPr>
          <w:rFonts w:hint="eastAsia"/>
          <w:sz w:val="21"/>
          <w:szCs w:val="21"/>
          <w:lang w:val="en-US" w:eastAsia="zh-CN"/>
        </w:rPr>
        <w:t>数据</w:t>
      </w:r>
      <w:r>
        <w:rPr>
          <w:rFonts w:hint="eastAsia"/>
          <w:sz w:val="21"/>
          <w:szCs w:val="21"/>
          <w:lang w:eastAsia="zh-CN"/>
        </w:rPr>
        <w:t>值有效数位可以设置尽量少。</w:t>
      </w:r>
      <w:r>
        <w:rPr>
          <w:rFonts w:hint="eastAsia"/>
          <w:sz w:val="21"/>
          <w:szCs w:val="21"/>
          <w:lang w:val="en-US" w:eastAsia="zh-CN"/>
        </w:rPr>
        <w:t>也为了避免标值过多的文字重叠，系统自行判断突变，当前比例下相对较为接近的突变，也许并不显示。</w:t>
      </w:r>
    </w:p>
    <w:p>
      <w:pPr>
        <w:spacing w:after="156" w:afterLines="50"/>
        <w:ind w:left="420" w:leftChars="200"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三铰拱杆件的杆件少，方向简单，其轴力、剪力图中不再表示正负区域，即不显示“</w:t>
      </w:r>
      <w:r>
        <w:rPr>
          <w:rFonts w:hint="eastAsia"/>
          <w:sz w:val="21"/>
          <w:szCs w:val="21"/>
          <w:lang w:val="en-US" w:eastAsia="zh-CN"/>
        </w:rPr>
        <w:fldChar w:fldCharType="begin"/>
      </w:r>
      <w:r>
        <w:rPr>
          <w:rFonts w:hint="eastAsia"/>
          <w:sz w:val="21"/>
          <w:szCs w:val="21"/>
          <w:lang w:val="en-US" w:eastAsia="zh-CN"/>
        </w:rPr>
        <w:instrText xml:space="preserve"> EQ \o\ac(</w:instrText>
      </w:r>
      <w:r>
        <w:rPr>
          <w:rFonts w:hint="eastAsia" w:ascii="Times New Roman" w:hAnsi="Times New Roman" w:eastAsiaTheme="minorEastAsia" w:cstheme="minorBidi"/>
          <w:kern w:val="2"/>
          <w:position w:val="-4"/>
          <w:sz w:val="31"/>
          <w:szCs w:val="21"/>
          <w:lang w:val="en-US" w:eastAsia="zh-CN" w:bidi="ar-SA"/>
        </w:rPr>
        <w:instrText xml:space="preserve">○</w:instrText>
      </w:r>
      <w:r>
        <w:rPr>
          <w:rFonts w:hint="eastAsia"/>
          <w:position w:val="0"/>
          <w:sz w:val="21"/>
          <w:szCs w:val="21"/>
          <w:lang w:val="en-US" w:eastAsia="zh-CN"/>
        </w:rPr>
        <w:instrText xml:space="preserve">,+)</w:instrText>
      </w:r>
      <w:r>
        <w:rPr>
          <w:rFonts w:hint="eastAsia"/>
          <w:sz w:val="21"/>
          <w:szCs w:val="21"/>
          <w:lang w:val="en-US" w:eastAsia="zh-CN"/>
        </w:rPr>
        <w:fldChar w:fldCharType="end"/>
      </w:r>
      <w:r>
        <w:rPr>
          <w:rFonts w:hint="eastAsia"/>
          <w:sz w:val="21"/>
          <w:szCs w:val="21"/>
          <w:lang w:val="en-US" w:eastAsia="zh-CN"/>
        </w:rPr>
        <w:fldChar w:fldCharType="begin"/>
      </w:r>
      <w:r>
        <w:rPr>
          <w:rFonts w:hint="eastAsia"/>
          <w:sz w:val="21"/>
          <w:szCs w:val="21"/>
          <w:lang w:val="en-US" w:eastAsia="zh-CN"/>
        </w:rPr>
        <w:instrText xml:space="preserve"> EQ \o\ac(</w:instrText>
      </w:r>
      <w:r>
        <w:rPr>
          <w:rFonts w:hint="eastAsia" w:ascii="Times New Roman" w:hAnsi="Times New Roman" w:eastAsiaTheme="minorEastAsia" w:cstheme="minorBidi"/>
          <w:kern w:val="2"/>
          <w:position w:val="-4"/>
          <w:sz w:val="31"/>
          <w:szCs w:val="21"/>
          <w:lang w:val="en-US" w:eastAsia="zh-CN" w:bidi="ar-SA"/>
        </w:rPr>
        <w:instrText xml:space="preserve">○</w:instrText>
      </w:r>
      <w:r>
        <w:rPr>
          <w:rFonts w:hint="eastAsia"/>
          <w:position w:val="0"/>
          <w:sz w:val="21"/>
          <w:szCs w:val="21"/>
          <w:lang w:val="en-US" w:eastAsia="zh-CN"/>
        </w:rPr>
        <w:instrText xml:space="preserve">,-)</w:instrText>
      </w:r>
      <w:r>
        <w:rPr>
          <w:rFonts w:hint="eastAsia"/>
          <w:sz w:val="21"/>
          <w:szCs w:val="21"/>
          <w:lang w:val="en-US" w:eastAsia="zh-CN"/>
        </w:rPr>
        <w:fldChar w:fldCharType="end"/>
      </w:r>
      <w:r>
        <w:rPr>
          <w:rFonts w:hint="eastAsia"/>
          <w:sz w:val="21"/>
          <w:szCs w:val="21"/>
          <w:lang w:val="en-US" w:eastAsia="zh-CN"/>
        </w:rPr>
        <w:t>”，只显示控制截面的正负。</w:t>
      </w:r>
    </w:p>
    <w:p>
      <w:pPr>
        <w:spacing w:after="156" w:afterLines="50"/>
        <w:ind w:left="420" w:leftChars="200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可以在</w:t>
      </w:r>
      <w:r>
        <w:rPr>
          <w:rFonts w:hint="eastAsia"/>
          <w:sz w:val="21"/>
          <w:szCs w:val="21"/>
          <w:lang w:val="en-US" w:eastAsia="zh-CN"/>
        </w:rPr>
        <w:t>所</w:t>
      </w:r>
      <w:r>
        <w:rPr>
          <w:rFonts w:hint="eastAsia"/>
          <w:sz w:val="21"/>
          <w:szCs w:val="21"/>
        </w:rPr>
        <w:t>显示</w:t>
      </w:r>
      <w:r>
        <w:rPr>
          <w:rFonts w:hint="eastAsia"/>
          <w:sz w:val="21"/>
          <w:szCs w:val="21"/>
          <w:lang w:val="en-US" w:eastAsia="zh-CN"/>
        </w:rPr>
        <w:t>内力</w:t>
      </w:r>
      <w:r>
        <w:rPr>
          <w:rFonts w:hint="eastAsia"/>
          <w:sz w:val="21"/>
          <w:szCs w:val="21"/>
        </w:rPr>
        <w:t>图上“</w:t>
      </w:r>
      <w:r>
        <w:rPr>
          <w:rFonts w:hint="eastAsia"/>
          <w:color w:val="0000FF"/>
          <w:sz w:val="21"/>
          <w:szCs w:val="21"/>
        </w:rPr>
        <w:t>CTRL+鼠标滚轮</w:t>
      </w:r>
      <w:r>
        <w:rPr>
          <w:rFonts w:hint="eastAsia"/>
          <w:sz w:val="21"/>
          <w:szCs w:val="21"/>
        </w:rPr>
        <w:t>”对内力竖标显示幅度进行缩放操作。</w:t>
      </w:r>
    </w:p>
    <w:p>
      <w:pPr>
        <w:spacing w:after="156" w:afterLines="50"/>
        <w:ind w:left="420" w:leftChars="200" w:firstLine="420"/>
        <w:rPr>
          <w:sz w:val="21"/>
          <w:szCs w:val="21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numPr>
          <w:ilvl w:val="0"/>
          <w:numId w:val="0"/>
        </w:numPr>
        <w:ind w:left="-19" w:leftChars="0"/>
        <w:jc w:val="both"/>
        <w:rPr>
          <w:rFonts w:hint="eastAsia"/>
          <w:b/>
          <w:bCs/>
          <w:sz w:val="72"/>
          <w:szCs w:val="144"/>
          <w:lang w:eastAsia="zh-CN"/>
        </w:rPr>
      </w:pP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eastAsia="zh-CN"/>
        </w:rPr>
      </w:pPr>
      <w:r>
        <w:rPr>
          <w:rFonts w:hint="eastAsia"/>
          <w:b/>
          <w:bCs/>
          <w:sz w:val="72"/>
          <w:szCs w:val="144"/>
          <w:lang w:eastAsia="zh-CN"/>
        </w:rPr>
        <w:t>演示功能</w:t>
      </w:r>
    </w:p>
    <w:p>
      <w:pPr>
        <w:rPr>
          <w:b/>
          <w:bCs/>
          <w:sz w:val="44"/>
          <w:szCs w:val="52"/>
        </w:rPr>
      </w:pP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力法</w:t>
      </w:r>
      <w:r>
        <w:rPr>
          <w:rFonts w:hint="eastAsia"/>
          <w:b/>
          <w:bCs/>
          <w:sz w:val="40"/>
          <w:szCs w:val="48"/>
          <w:lang w:eastAsia="zh-CN"/>
        </w:rPr>
        <w:t>全过程分析</w:t>
      </w:r>
      <w:r>
        <w:rPr>
          <w:rFonts w:hint="eastAsia"/>
          <w:b/>
          <w:bCs/>
          <w:sz w:val="40"/>
          <w:szCs w:val="48"/>
        </w:rPr>
        <w:t>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位移法</w:t>
      </w:r>
      <w:r>
        <w:rPr>
          <w:rFonts w:hint="eastAsia"/>
          <w:b/>
          <w:bCs/>
          <w:sz w:val="40"/>
          <w:szCs w:val="48"/>
          <w:lang w:eastAsia="zh-CN"/>
        </w:rPr>
        <w:t>全过程分析</w:t>
      </w:r>
      <w:r>
        <w:rPr>
          <w:rFonts w:hint="eastAsia"/>
          <w:b/>
          <w:bCs/>
          <w:sz w:val="40"/>
          <w:szCs w:val="48"/>
        </w:rPr>
        <w:t>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位移法渐近分析演示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力矩分配法</w:t>
      </w:r>
      <w:r>
        <w:rPr>
          <w:rFonts w:hint="eastAsia"/>
          <w:b/>
          <w:bCs/>
          <w:sz w:val="40"/>
          <w:szCs w:val="48"/>
          <w:lang w:eastAsia="zh-CN"/>
        </w:rPr>
        <w:t>全过程分析</w:t>
      </w:r>
      <w:r>
        <w:rPr>
          <w:rFonts w:hint="eastAsia"/>
          <w:b/>
          <w:bCs/>
          <w:sz w:val="40"/>
          <w:szCs w:val="48"/>
        </w:rPr>
        <w:t>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影响线演示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自由振动振型演示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强迫振动分析演示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default"/>
          <w:b/>
          <w:bCs/>
          <w:sz w:val="40"/>
          <w:szCs w:val="48"/>
          <w:lang w:val="en-US" w:eastAsia="zh-CN"/>
        </w:rPr>
        <w:sectPr>
          <w:headerReference r:id="rId10" w:type="default"/>
          <w:pgSz w:w="16838" w:h="11906" w:orient="landscape"/>
          <w:pgMar w:top="1800" w:right="1440" w:bottom="1800" w:left="1440" w:header="851" w:footer="992" w:gutter="0"/>
          <w:pgNumType w:fmt="decimal"/>
          <w:cols w:space="0" w:num="1"/>
          <w:docGrid w:type="lines" w:linePitch="312" w:charSpace="0"/>
        </w:sectPr>
      </w:pPr>
      <w:r>
        <w:rPr>
          <w:rFonts w:hint="eastAsia"/>
          <w:b/>
          <w:bCs/>
          <w:sz w:val="40"/>
          <w:szCs w:val="48"/>
          <w:lang w:val="en-US" w:eastAsia="zh-CN"/>
        </w:rPr>
        <w:t>空间杆系结构动力模态演示</w:t>
      </w:r>
    </w:p>
    <w:p>
      <w:pPr>
        <w:adjustRightInd w:val="0"/>
        <w:snapToGrid w:val="0"/>
        <w:spacing w:line="360" w:lineRule="auto"/>
        <w:ind w:left="-17" w:leftChars="0" w:firstLine="17" w:firstLineChars="0"/>
        <w:jc w:val="center"/>
        <w:rPr>
          <w:rFonts w:hint="default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演示功能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系统获取模型数据后，会进行第一次预分析，判断体系能否作为结构，以及梳理可使用方法。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首次预分析成功后，若体系超静定，再进行第二次预分析，建立力法、位移法、力矩分配、模型简化等智能分析的基本数据。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若结构模型相对复杂，进行第二次预分析（遍历模式算法）</w:t>
      </w:r>
      <w:r>
        <w:rPr>
          <w:rFonts w:hint="eastAsia"/>
          <w:sz w:val="21"/>
          <w:szCs w:val="21"/>
        </w:rPr>
        <w:t>耗时</w:t>
      </w:r>
      <w:r>
        <w:rPr>
          <w:rFonts w:hint="eastAsia"/>
          <w:sz w:val="21"/>
          <w:szCs w:val="21"/>
          <w:lang w:val="en-US" w:eastAsia="zh-CN"/>
        </w:rPr>
        <w:t>较大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en-US" w:eastAsia="zh-CN"/>
        </w:rPr>
        <w:t>而复杂结构通常也仅需要内力和变形的分析结果，并不适合采取手算，建议在系统提示时</w:t>
      </w:r>
      <w:r>
        <w:rPr>
          <w:rFonts w:hint="eastAsia"/>
          <w:sz w:val="21"/>
          <w:szCs w:val="21"/>
        </w:rPr>
        <w:t>取消</w:t>
      </w:r>
      <w:r>
        <w:rPr>
          <w:rFonts w:hint="eastAsia"/>
          <w:sz w:val="21"/>
          <w:szCs w:val="21"/>
          <w:lang w:val="en-US" w:eastAsia="zh-CN"/>
        </w:rPr>
        <w:t>二次预分析</w:t>
      </w:r>
      <w:r>
        <w:rPr>
          <w:rFonts w:hint="eastAsia"/>
          <w:sz w:val="21"/>
          <w:szCs w:val="21"/>
        </w:rPr>
        <w:t>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【</w:t>
      </w:r>
      <w:r>
        <w:rPr>
          <w:rFonts w:hint="eastAsia"/>
          <w:sz w:val="21"/>
          <w:szCs w:val="21"/>
          <w:lang w:val="en-US" w:eastAsia="zh-CN"/>
        </w:rPr>
        <w:t>说明</w:t>
      </w:r>
      <w:r>
        <w:rPr>
          <w:rFonts w:hint="eastAsia"/>
          <w:sz w:val="21"/>
          <w:szCs w:val="21"/>
          <w:lang w:eastAsia="zh-CN"/>
        </w:rPr>
        <w:t>】</w:t>
      </w:r>
      <w:r>
        <w:rPr>
          <w:rFonts w:hint="eastAsia"/>
          <w:sz w:val="21"/>
          <w:szCs w:val="21"/>
          <w:lang w:val="en-US" w:eastAsia="zh-CN"/>
        </w:rPr>
        <w:t>因为开发成本与效率原因，系统算法主要处理智能、交互、图显内容，同时基于教学目的，教学模型规模通常不大，故未对通用分析算法进行效率优化。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系统对中等规模以上模型计算效率相对敏感。结点数小于100时，影响基本可忽略，但结点数超过200后，当前算法效率不佳。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为提高分析效率，数据格式按图显需要统一，系统使用单精度存贮算法某些关键数据（</w:t>
      </w:r>
      <w:r>
        <w:rPr>
          <w:rFonts w:hint="eastAsia"/>
          <w:sz w:val="21"/>
          <w:szCs w:val="21"/>
        </w:rPr>
        <w:t>数据精度</w:t>
      </w:r>
      <w:r>
        <w:rPr>
          <w:rFonts w:hint="eastAsia"/>
          <w:sz w:val="21"/>
          <w:szCs w:val="21"/>
          <w:lang w:val="en-US" w:eastAsia="zh-CN"/>
        </w:rPr>
        <w:t>略低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u w:val="none"/>
          <w:lang w:val="en-US" w:eastAsia="zh-CN"/>
        </w:rPr>
        <w:t>有效数字6位以后，对工程精度无影响）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en-US" w:eastAsia="zh-CN"/>
        </w:rPr>
        <w:t>但教学演示效果上仍可能产生一些概念性影响，如无法化分数、或零值变小值；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以上误差在力法、位移法的演示过程中，都可能产生细微影响，用户应作概念性认识。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 w:eastAsiaTheme="minorEastAsia"/>
          <w:sz w:val="21"/>
          <w:szCs w:val="21"/>
          <w:lang w:val="en-US" w:eastAsia="zh-CN"/>
        </w:rPr>
        <w:sectPr>
          <w:headerReference r:id="rId11" w:type="default"/>
          <w:pgSz w:w="16838" w:h="11906" w:orient="landscape"/>
          <w:pgMar w:top="1800" w:right="1440" w:bottom="1800" w:left="1440" w:header="851" w:footer="992" w:gutter="0"/>
          <w:pgNumType w:fmt="decimal"/>
          <w:cols w:space="427" w:num="2"/>
          <w:docGrid w:type="lines" w:linePitch="312" w:charSpace="0"/>
        </w:sectPr>
      </w:pPr>
      <w:r>
        <w:rPr>
          <w:rFonts w:hint="eastAsia"/>
          <w:sz w:val="21"/>
          <w:szCs w:val="21"/>
        </w:rPr>
        <w:t>模拟手算算法涉及整体架构，</w:t>
      </w:r>
      <w:r>
        <w:rPr>
          <w:rFonts w:hint="eastAsia"/>
          <w:sz w:val="21"/>
          <w:szCs w:val="21"/>
          <w:lang w:val="en-US" w:eastAsia="zh-CN"/>
        </w:rPr>
        <w:t>对上述问题优化调整工作量大，</w:t>
      </w:r>
      <w:r>
        <w:rPr>
          <w:rFonts w:hint="eastAsia"/>
          <w:sz w:val="21"/>
          <w:szCs w:val="21"/>
        </w:rPr>
        <w:t>待</w:t>
      </w:r>
      <w:r>
        <w:rPr>
          <w:rFonts w:hint="eastAsia"/>
          <w:sz w:val="21"/>
          <w:szCs w:val="21"/>
          <w:lang w:val="en-US" w:eastAsia="zh-CN"/>
        </w:rPr>
        <w:t>后续</w:t>
      </w:r>
      <w:r>
        <w:rPr>
          <w:rFonts w:hint="eastAsia"/>
          <w:sz w:val="21"/>
          <w:szCs w:val="21"/>
        </w:rPr>
        <w:t>版</w:t>
      </w:r>
      <w:r>
        <w:rPr>
          <w:rFonts w:hint="eastAsia"/>
          <w:sz w:val="21"/>
          <w:szCs w:val="21"/>
          <w:lang w:val="en-US" w:eastAsia="zh-CN"/>
        </w:rPr>
        <w:t>本</w:t>
      </w:r>
      <w:r>
        <w:rPr>
          <w:rFonts w:hint="eastAsia"/>
          <w:sz w:val="21"/>
          <w:szCs w:val="21"/>
        </w:rPr>
        <w:t>再作</w:t>
      </w:r>
      <w:r>
        <w:rPr>
          <w:rFonts w:hint="eastAsia"/>
          <w:sz w:val="21"/>
          <w:szCs w:val="21"/>
          <w:lang w:val="en-US" w:eastAsia="zh-CN"/>
        </w:rPr>
        <w:t>优化。</w:t>
      </w:r>
    </w:p>
    <w:p>
      <w:pPr>
        <w:ind w:left="-8" w:hanging="8"/>
        <w:jc w:val="center"/>
        <w:rPr>
          <w:b/>
          <w:bCs/>
          <w:sz w:val="36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3694430</wp:posOffset>
            </wp:positionH>
            <wp:positionV relativeFrom="paragraph">
              <wp:posOffset>292735</wp:posOffset>
            </wp:positionV>
            <wp:extent cx="5114290" cy="4594225"/>
            <wp:effectExtent l="0" t="0" r="48260" b="53975"/>
            <wp:wrapTight wrapText="bothSides">
              <wp:wrapPolygon>
                <wp:start x="0" y="0"/>
                <wp:lineTo x="0" y="21496"/>
                <wp:lineTo x="21482" y="21496"/>
                <wp:lineTo x="21482" y="0"/>
                <wp:lineTo x="0" y="0"/>
              </wp:wrapPolygon>
            </wp:wrapTight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</w:rPr>
        <w:t>力法</w:t>
      </w:r>
      <w:r>
        <w:rPr>
          <w:rFonts w:hint="eastAsia"/>
          <w:b/>
          <w:bCs/>
          <w:sz w:val="36"/>
          <w:lang w:eastAsia="zh-CN"/>
        </w:rPr>
        <w:t>全过程分析</w:t>
      </w:r>
    </w:p>
    <w:p>
      <w:pPr>
        <w:ind w:left="-8" w:hanging="8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若超静定次数不超过</w:t>
      </w:r>
      <w:r>
        <w:rPr>
          <w:rFonts w:hint="eastAsia"/>
          <w:b/>
          <w:bCs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>次（含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>次），系统自动生成力法计算的基本结构以及单位弯矩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~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i/>
          <w:iCs/>
          <w:sz w:val="21"/>
          <w:szCs w:val="21"/>
          <w:vertAlign w:val="subscript"/>
        </w:rPr>
        <w:t>n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sz w:val="21"/>
          <w:szCs w:val="21"/>
          <w:vertAlign w:val="subscript"/>
        </w:rPr>
        <w:t>P</w:t>
      </w:r>
      <w:r>
        <w:rPr>
          <w:rFonts w:hint="eastAsia"/>
          <w:sz w:val="21"/>
          <w:szCs w:val="21"/>
        </w:rPr>
        <w:t>图。</w:t>
      </w:r>
    </w:p>
    <w:p>
      <w:pPr>
        <w:adjustRightInd w:val="0"/>
        <w:snapToGrid w:val="0"/>
        <w:spacing w:line="360" w:lineRule="auto"/>
        <w:ind w:left="-17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力法</w:t>
      </w:r>
      <w:r>
        <w:rPr>
          <w:rFonts w:hint="eastAsia"/>
          <w:sz w:val="21"/>
          <w:szCs w:val="21"/>
          <w:lang w:eastAsia="zh-CN"/>
        </w:rPr>
        <w:t>全过程分析</w:t>
      </w:r>
      <w:r>
        <w:rPr>
          <w:rFonts w:hint="eastAsia"/>
          <w:b/>
          <w:bCs/>
          <w:color w:val="FF0000"/>
          <w:sz w:val="21"/>
          <w:szCs w:val="21"/>
        </w:rPr>
        <w:t>适用于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荷载作用、</w:t>
      </w: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支移</w:t>
      </w:r>
      <w:r>
        <w:rPr>
          <w:rFonts w:hint="eastAsia"/>
          <w:b/>
          <w:bCs/>
          <w:color w:val="FF0000"/>
          <w:sz w:val="21"/>
          <w:szCs w:val="21"/>
          <w:lang w:eastAsia="zh-CN"/>
        </w:rPr>
        <w:t>下，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只考虑弯曲变形的梁或</w:t>
      </w:r>
      <w:r>
        <w:rPr>
          <w:rFonts w:hint="eastAsia"/>
          <w:b/>
          <w:bCs/>
          <w:color w:val="0000FF"/>
          <w:sz w:val="21"/>
          <w:szCs w:val="21"/>
        </w:rPr>
        <w:t>刚架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分析</w:t>
      </w:r>
      <w:r>
        <w:rPr>
          <w:rFonts w:hint="eastAsia"/>
          <w:sz w:val="21"/>
          <w:szCs w:val="21"/>
          <w:lang w:eastAsia="zh-CN"/>
        </w:rPr>
        <w:t>，目前</w:t>
      </w:r>
      <w:r>
        <w:rPr>
          <w:rFonts w:hint="eastAsia"/>
          <w:sz w:val="21"/>
          <w:szCs w:val="21"/>
          <w:lang w:val="en-US" w:eastAsia="zh-CN"/>
        </w:rPr>
        <w:t>不支持温变、弹性支座、桁架、组合结构</w:t>
      </w:r>
      <w:r>
        <w:rPr>
          <w:rFonts w:hint="eastAsia"/>
          <w:sz w:val="21"/>
          <w:szCs w:val="21"/>
        </w:rPr>
        <w:t>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力法基本结构有多种可能选择，</w:t>
      </w:r>
      <w:r>
        <w:rPr>
          <w:rFonts w:hint="eastAsia"/>
          <w:sz w:val="21"/>
          <w:szCs w:val="21"/>
          <w:lang w:eastAsia="zh-CN"/>
        </w:rPr>
        <w:t>系统</w:t>
      </w:r>
      <w:r>
        <w:rPr>
          <w:rFonts w:hint="eastAsia"/>
          <w:sz w:val="21"/>
          <w:szCs w:val="21"/>
          <w:lang w:val="en-US" w:eastAsia="zh-CN"/>
        </w:rPr>
        <w:t>仅给出</w:t>
      </w:r>
      <w:r>
        <w:rPr>
          <w:rFonts w:hint="eastAsia"/>
          <w:sz w:val="21"/>
          <w:szCs w:val="21"/>
          <w:lang w:eastAsia="zh-CN"/>
        </w:rPr>
        <w:t>其中相对简洁的模式（</w:t>
      </w:r>
      <w:r>
        <w:rPr>
          <w:rFonts w:hint="eastAsia"/>
          <w:sz w:val="21"/>
          <w:szCs w:val="21"/>
          <w:lang w:val="en-US" w:eastAsia="zh-CN"/>
        </w:rPr>
        <w:t>考虑自动图显的清晰、可辨析，以及常规计算量</w:t>
      </w:r>
      <w:r>
        <w:rPr>
          <w:rFonts w:hint="eastAsia"/>
          <w:sz w:val="21"/>
          <w:szCs w:val="21"/>
          <w:lang w:eastAsia="zh-CN"/>
        </w:rPr>
        <w:t>）。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基本结构提供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随机生成</w:t>
      </w:r>
      <w:r>
        <w:rPr>
          <w:rFonts w:hint="eastAsia"/>
          <w:sz w:val="21"/>
          <w:szCs w:val="21"/>
          <w:lang w:eastAsia="zh-CN"/>
        </w:rPr>
        <w:t>和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用户选择</w:t>
      </w:r>
      <w:r>
        <w:rPr>
          <w:rFonts w:hint="eastAsia"/>
          <w:sz w:val="21"/>
          <w:szCs w:val="21"/>
          <w:lang w:eastAsia="zh-CN"/>
        </w:rPr>
        <w:t>选取模式</w:t>
      </w:r>
      <w:r>
        <w:rPr>
          <w:rFonts w:hint="eastAsia"/>
          <w:sz w:val="21"/>
          <w:szCs w:val="21"/>
        </w:rPr>
        <w:t>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  <w:r>
        <w:rPr>
          <w:rFonts w:hint="eastAsia"/>
          <w:sz w:val="24"/>
        </w:rPr>
        <w:t>。</w:t>
      </w:r>
    </w:p>
    <w:p>
      <w:pPr>
        <w:adjustRightInd w:val="0"/>
        <w:snapToGrid w:val="0"/>
        <w:spacing w:line="360" w:lineRule="auto"/>
        <w:ind w:left="-17" w:leftChars="0" w:firstLine="17" w:firstLineChars="0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b/>
          <w:bCs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5040" w:space="210"/>
            <w:col w:w="8707"/>
          </w:cols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8" w:right="-218" w:rightChars="-104" w:hanging="8"/>
        <w:jc w:val="center"/>
        <w:rPr>
          <w:rFonts w:hint="eastAsia" w:eastAsiaTheme="minorEastAsia"/>
          <w:b/>
          <w:bCs/>
          <w:sz w:val="36"/>
          <w:lang w:eastAsia="zh-CN"/>
        </w:rPr>
      </w:pPr>
      <w:r>
        <w:rPr>
          <w:rFonts w:hint="eastAsia"/>
          <w:b/>
          <w:bCs/>
          <w:sz w:val="36"/>
        </w:rPr>
        <w:t>位移法</w:t>
      </w:r>
      <w:r>
        <w:rPr>
          <w:rFonts w:hint="eastAsia"/>
          <w:b/>
          <w:bCs/>
          <w:sz w:val="36"/>
          <w:lang w:eastAsia="zh-CN"/>
        </w:rPr>
        <w:t>全自动分析</w:t>
      </w:r>
    </w:p>
    <w:p>
      <w:pPr>
        <w:adjustRightInd w:val="0"/>
        <w:snapToGrid w:val="0"/>
        <w:spacing w:line="360" w:lineRule="auto"/>
        <w:ind w:left="-8" w:hanging="8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位移法演示适用于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梁</w:t>
      </w:r>
      <w:r>
        <w:rPr>
          <w:rFonts w:hint="eastAsia"/>
          <w:sz w:val="21"/>
          <w:szCs w:val="21"/>
          <w:lang w:val="en-US" w:eastAsia="zh-CN"/>
        </w:rPr>
        <w:t>和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刚架结构</w:t>
      </w: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仅考虑弯曲变形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。若未知</w:t>
      </w:r>
      <w:r>
        <w:rPr>
          <w:rFonts w:hint="eastAsia"/>
          <w:b/>
          <w:bCs/>
          <w:sz w:val="21"/>
          <w:szCs w:val="21"/>
        </w:rPr>
        <w:t>独立结</w:t>
      </w:r>
      <w:r>
        <w:rPr>
          <w:rFonts w:hint="eastAsia"/>
          <w:b/>
          <w:bCs/>
          <w:sz w:val="21"/>
          <w:szCs w:val="21"/>
          <w:lang w:val="en-US" w:eastAsia="zh-CN"/>
        </w:rPr>
        <w:t>点</w:t>
      </w:r>
      <w:r>
        <w:rPr>
          <w:rFonts w:hint="eastAsia"/>
          <w:b/>
          <w:bCs/>
          <w:sz w:val="21"/>
          <w:szCs w:val="21"/>
        </w:rPr>
        <w:t>位移数</w:t>
      </w:r>
      <w:r>
        <w:rPr>
          <w:rFonts w:hint="eastAsia"/>
          <w:sz w:val="21"/>
          <w:szCs w:val="21"/>
        </w:rPr>
        <w:t>不大于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5</w:t>
      </w:r>
      <w:r>
        <w:rPr>
          <w:rFonts w:hint="eastAsia"/>
          <w:sz w:val="21"/>
          <w:szCs w:val="21"/>
        </w:rPr>
        <w:t>，系统可自动生成基本结构</w:t>
      </w:r>
      <w:r>
        <w:rPr>
          <w:rFonts w:hint="eastAsia"/>
          <w:sz w:val="21"/>
          <w:szCs w:val="21"/>
          <w:lang w:eastAsia="zh-CN"/>
        </w:rPr>
        <w:t>、</w:t>
      </w:r>
      <w:r>
        <w:rPr>
          <w:rFonts w:hint="eastAsia"/>
          <w:sz w:val="21"/>
          <w:szCs w:val="21"/>
        </w:rPr>
        <w:t>单位弯矩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sz w:val="21"/>
          <w:szCs w:val="21"/>
          <w:vertAlign w:val="subscript"/>
        </w:rPr>
        <w:t>1</w:t>
      </w:r>
      <w:r>
        <w:rPr>
          <w:rFonts w:hint="eastAsia"/>
          <w:sz w:val="21"/>
          <w:szCs w:val="21"/>
        </w:rPr>
        <w:t>~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i/>
          <w:iCs/>
          <w:sz w:val="21"/>
          <w:szCs w:val="21"/>
          <w:vertAlign w:val="subscript"/>
        </w:rPr>
        <w:t>n</w:t>
      </w:r>
      <w:r>
        <w:rPr>
          <w:rFonts w:hint="eastAsia"/>
          <w:sz w:val="21"/>
          <w:szCs w:val="21"/>
        </w:rPr>
        <w:t>、</w:t>
      </w:r>
      <w:r>
        <w:rPr>
          <w:rFonts w:hint="eastAsia"/>
          <w:i/>
          <w:iCs/>
          <w:sz w:val="21"/>
          <w:szCs w:val="21"/>
        </w:rPr>
        <w:t>M</w:t>
      </w:r>
      <w:r>
        <w:rPr>
          <w:rFonts w:hint="eastAsia"/>
          <w:sz w:val="21"/>
          <w:szCs w:val="21"/>
          <w:vertAlign w:val="subscript"/>
        </w:rPr>
        <w:t>P</w:t>
      </w:r>
      <w:r>
        <w:rPr>
          <w:rFonts w:hint="eastAsia"/>
          <w:sz w:val="21"/>
          <w:szCs w:val="21"/>
        </w:rPr>
        <w:t>图，</w:t>
      </w:r>
      <w:r>
        <w:rPr>
          <w:rFonts w:hint="eastAsia"/>
          <w:sz w:val="21"/>
          <w:szCs w:val="21"/>
          <w:lang w:val="en-US" w:eastAsia="zh-CN"/>
        </w:rPr>
        <w:t>以及</w:t>
      </w:r>
      <w:r>
        <w:rPr>
          <w:rFonts w:hint="eastAsia"/>
          <w:sz w:val="21"/>
          <w:szCs w:val="21"/>
        </w:rPr>
        <w:t>显示各状态下的刚度系数。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未知量选择贴合手算，考虑</w:t>
      </w:r>
      <w:r>
        <w:rPr>
          <w:rFonts w:hint="eastAsia" w:eastAsiaTheme="minorEastAsia"/>
          <w:b/>
          <w:bCs/>
          <w:color w:val="0000FF"/>
          <w:sz w:val="21"/>
          <w:szCs w:val="21"/>
          <w:em w:val="dot"/>
          <w:lang w:eastAsia="zh-CN"/>
        </w:rPr>
        <w:t>未知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、</w:t>
      </w:r>
      <w:r>
        <w:rPr>
          <w:rFonts w:hint="eastAsia" w:eastAsiaTheme="minorEastAsia"/>
          <w:b/>
          <w:bCs/>
          <w:color w:val="0000FF"/>
          <w:sz w:val="21"/>
          <w:szCs w:val="21"/>
          <w:em w:val="dot"/>
          <w:lang w:eastAsia="zh-CN"/>
        </w:rPr>
        <w:t>独立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结点位移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</w:rPr>
        <w:t>铰端转动自由度，定向端切向自由度，不计入未知量。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单元固定时，</w:t>
      </w:r>
      <w:r>
        <w:rPr>
          <w:rFonts w:hint="eastAsia"/>
          <w:sz w:val="21"/>
          <w:szCs w:val="21"/>
        </w:rPr>
        <w:t>位移法基本结构</w:t>
      </w:r>
      <w:r>
        <w:rPr>
          <w:rFonts w:hint="eastAsia"/>
          <w:sz w:val="21"/>
          <w:szCs w:val="21"/>
          <w:lang w:eastAsia="zh-CN"/>
        </w:rPr>
        <w:t>选择</w:t>
      </w:r>
      <w:r>
        <w:rPr>
          <w:rFonts w:hint="eastAsia"/>
          <w:sz w:val="21"/>
          <w:szCs w:val="21"/>
        </w:rPr>
        <w:t>唯一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/>
          <w:sz w:val="21"/>
          <w:szCs w:val="21"/>
          <w:lang w:val="en-US" w:eastAsia="zh-CN"/>
        </w:rPr>
        <w:t>但若</w:t>
      </w:r>
      <w:r>
        <w:rPr>
          <w:rFonts w:hint="eastAsia"/>
          <w:sz w:val="21"/>
          <w:szCs w:val="21"/>
        </w:rPr>
        <w:t>结构中有抗弯刚度</w:t>
      </w:r>
      <w:r>
        <w:rPr>
          <w:rFonts w:hint="eastAsia"/>
          <w:b/>
          <w:bCs/>
          <w:color w:val="0000FF"/>
          <w:sz w:val="21"/>
          <w:szCs w:val="21"/>
        </w:rPr>
        <w:t>无穷大的刚杆</w:t>
      </w:r>
      <w:r>
        <w:rPr>
          <w:rFonts w:hint="eastAsia"/>
          <w:b/>
          <w:bCs/>
          <w:color w:val="0000FF"/>
          <w:sz w:val="21"/>
          <w:szCs w:val="21"/>
          <w:lang w:eastAsia="zh-CN"/>
        </w:rPr>
        <w:t>或不计轴向变形杆</w:t>
      </w:r>
      <w:r>
        <w:rPr>
          <w:rFonts w:hint="eastAsia"/>
          <w:b/>
          <w:bCs/>
          <w:color w:val="0000FF"/>
          <w:sz w:val="21"/>
          <w:szCs w:val="21"/>
          <w:lang w:val="en-US" w:eastAsia="zh-CN"/>
        </w:rPr>
        <w:t>件时</w:t>
      </w:r>
      <w:r>
        <w:rPr>
          <w:rFonts w:hint="eastAsia"/>
          <w:sz w:val="21"/>
          <w:szCs w:val="21"/>
        </w:rPr>
        <w:t>，某些结点位移</w:t>
      </w:r>
      <w:r>
        <w:rPr>
          <w:rFonts w:hint="eastAsia"/>
          <w:sz w:val="21"/>
          <w:szCs w:val="21"/>
          <w:lang w:val="en-US" w:eastAsia="zh-CN"/>
        </w:rPr>
        <w:t>间存在</w:t>
      </w:r>
      <w:r>
        <w:rPr>
          <w:rFonts w:hint="eastAsia"/>
          <w:sz w:val="21"/>
          <w:szCs w:val="21"/>
          <w:lang w:eastAsia="zh-CN"/>
        </w:rPr>
        <w:t>耦合</w:t>
      </w:r>
      <w:r>
        <w:rPr>
          <w:rFonts w:hint="eastAsia"/>
          <w:sz w:val="21"/>
          <w:szCs w:val="21"/>
          <w:lang w:val="en-US" w:eastAsia="zh-CN"/>
        </w:rPr>
        <w:t>的几何关系</w:t>
      </w:r>
      <w:r>
        <w:rPr>
          <w:rFonts w:hint="eastAsia"/>
          <w:sz w:val="21"/>
          <w:szCs w:val="21"/>
        </w:rPr>
        <w:t>，基本结构对应的模型简图</w:t>
      </w:r>
      <w:r>
        <w:rPr>
          <w:rFonts w:hint="eastAsia"/>
          <w:sz w:val="21"/>
          <w:szCs w:val="21"/>
          <w:lang w:val="en-US" w:eastAsia="zh-CN"/>
        </w:rPr>
        <w:t>在表达形式上并</w:t>
      </w:r>
      <w:r>
        <w:rPr>
          <w:rFonts w:hint="eastAsia"/>
          <w:sz w:val="21"/>
          <w:szCs w:val="21"/>
        </w:rPr>
        <w:t>不唯一</w:t>
      </w: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实质自由度仍等效</w:t>
      </w:r>
      <w:r>
        <w:rPr>
          <w:rFonts w:hint="eastAsia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，系统</w:t>
      </w:r>
      <w:r>
        <w:rPr>
          <w:rFonts w:hint="eastAsia"/>
          <w:sz w:val="21"/>
          <w:szCs w:val="21"/>
          <w:lang w:eastAsia="zh-CN"/>
        </w:rPr>
        <w:t>自动</w:t>
      </w:r>
      <w:r>
        <w:rPr>
          <w:rFonts w:hint="eastAsia"/>
          <w:sz w:val="21"/>
          <w:szCs w:val="21"/>
        </w:rPr>
        <w:t>选择</w:t>
      </w:r>
      <w:r>
        <w:rPr>
          <w:rFonts w:hint="eastAsia"/>
          <w:sz w:val="21"/>
          <w:szCs w:val="21"/>
          <w:lang w:val="en-US" w:eastAsia="zh-CN"/>
        </w:rPr>
        <w:t>模式</w:t>
      </w:r>
      <w:r>
        <w:rPr>
          <w:rFonts w:hint="eastAsia"/>
          <w:sz w:val="21"/>
          <w:szCs w:val="21"/>
          <w:lang w:eastAsia="zh-CN"/>
        </w:rPr>
        <w:t>与内部算法相关，或许</w:t>
      </w:r>
      <w:r>
        <w:rPr>
          <w:rFonts w:hint="eastAsia"/>
          <w:sz w:val="21"/>
          <w:szCs w:val="21"/>
        </w:rPr>
        <w:t>并非</w:t>
      </w:r>
      <w:r>
        <w:rPr>
          <w:rFonts w:hint="eastAsia"/>
          <w:sz w:val="21"/>
          <w:szCs w:val="21"/>
          <w:lang w:eastAsia="zh-CN"/>
        </w:rPr>
        <w:t>与</w:t>
      </w:r>
      <w:r>
        <w:rPr>
          <w:rFonts w:hint="eastAsia"/>
          <w:sz w:val="21"/>
          <w:szCs w:val="21"/>
        </w:rPr>
        <w:t>用户判定</w:t>
      </w:r>
      <w:r>
        <w:rPr>
          <w:rFonts w:hint="eastAsia"/>
          <w:sz w:val="21"/>
          <w:szCs w:val="21"/>
          <w:lang w:val="en-US" w:eastAsia="zh-CN"/>
        </w:rPr>
        <w:t>位置</w:t>
      </w:r>
      <w:r>
        <w:rPr>
          <w:rFonts w:hint="eastAsia"/>
          <w:sz w:val="21"/>
          <w:szCs w:val="21"/>
          <w:lang w:eastAsia="zh-CN"/>
        </w:rPr>
        <w:t>一致</w:t>
      </w:r>
      <w:r>
        <w:rPr>
          <w:rFonts w:hint="eastAsia"/>
          <w:sz w:val="21"/>
          <w:szCs w:val="21"/>
        </w:rPr>
        <w:t>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【</w:t>
      </w:r>
      <w:r>
        <w:rPr>
          <w:rFonts w:hint="eastAsia"/>
          <w:sz w:val="21"/>
          <w:szCs w:val="21"/>
          <w:lang w:val="en-US" w:eastAsia="zh-CN"/>
        </w:rPr>
        <w:t>说明</w:t>
      </w:r>
      <w:r>
        <w:rPr>
          <w:rFonts w:hint="eastAsia"/>
          <w:sz w:val="21"/>
          <w:szCs w:val="21"/>
          <w:lang w:eastAsia="zh-CN"/>
        </w:rPr>
        <w:t>】</w:t>
      </w:r>
      <w:r>
        <w:rPr>
          <w:rFonts w:hint="eastAsia"/>
          <w:sz w:val="21"/>
          <w:szCs w:val="21"/>
          <w:lang w:val="en-US" w:eastAsia="zh-CN"/>
        </w:rPr>
        <w:t>因前述计算精度问题，带刚杆复杂体系，耦合自由度识别存在误判可能。</w:t>
      </w:r>
    </w:p>
    <w:p>
      <w:pPr>
        <w:ind w:left="-8" w:hanging="8"/>
        <w:jc w:val="center"/>
        <w:rPr>
          <w:b/>
          <w:bCs/>
          <w:sz w:val="24"/>
        </w:rPr>
        <w:sectPr>
          <w:headerReference r:id="rId12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4831" w:space="10"/>
            <w:col w:w="9117"/>
          </w:cols>
          <w:docGrid w:type="lines" w:linePitch="312" w:charSpace="0"/>
        </w:sectPr>
      </w:pPr>
      <w:r>
        <w:drawing>
          <wp:inline distT="0" distB="0" distL="114300" distR="114300">
            <wp:extent cx="5643245" cy="5086350"/>
            <wp:effectExtent l="0" t="0" r="14605" b="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8" w:right="-218" w:rightChars="-104" w:hanging="8"/>
        <w:jc w:val="center"/>
        <w:rPr>
          <w:rFonts w:hint="default" w:eastAsiaTheme="minorEastAsia"/>
          <w:b/>
          <w:bCs/>
          <w:sz w:val="36"/>
          <w:lang w:val="en-US" w:eastAsia="zh-CN"/>
        </w:rPr>
      </w:pPr>
      <w:r>
        <w:rPr>
          <w:rFonts w:hint="eastAsia"/>
          <w:b/>
          <w:bCs/>
          <w:sz w:val="36"/>
        </w:rPr>
        <w:t>位移法</w:t>
      </w:r>
      <w:r>
        <w:rPr>
          <w:rFonts w:hint="eastAsia"/>
          <w:b/>
          <w:bCs/>
          <w:sz w:val="36"/>
          <w:lang w:val="en-US" w:eastAsia="zh-CN"/>
        </w:rPr>
        <w:t>交互渐近分析</w:t>
      </w:r>
    </w:p>
    <w:p>
      <w:pPr>
        <w:adjustRightInd w:val="0"/>
        <w:snapToGrid w:val="0"/>
        <w:spacing w:line="360" w:lineRule="auto"/>
        <w:ind w:left="-8" w:hanging="8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位移法</w:t>
      </w:r>
      <w:r>
        <w:rPr>
          <w:rFonts w:hint="eastAsia"/>
          <w:sz w:val="21"/>
          <w:szCs w:val="21"/>
          <w:lang w:val="en-US" w:eastAsia="zh-CN"/>
        </w:rPr>
        <w:t>也可使用渐近算法。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本渐近算法可辅助学习者深入理解位移法概念。（目前图形显示不够简洁，待优化完毕后再上线）</w:t>
      </w:r>
    </w:p>
    <w:p>
      <w:pPr>
        <w:ind w:left="-8" w:hanging="8"/>
        <w:jc w:val="center"/>
        <w:rPr>
          <w:b/>
          <w:bCs/>
          <w:sz w:val="21"/>
          <w:szCs w:val="21"/>
        </w:rPr>
        <w:sectPr>
          <w:headerReference r:id="rId13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4831" w:space="10"/>
            <w:col w:w="9117"/>
          </w:cols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8" w:hanging="8"/>
        <w:jc w:val="center"/>
        <w:rPr>
          <w:rFonts w:hint="eastAsia" w:eastAsiaTheme="minorEastAsia"/>
          <w:b/>
          <w:bCs/>
          <w:sz w:val="36"/>
          <w:lang w:eastAsia="zh-CN"/>
        </w:rPr>
      </w:pPr>
      <w:r>
        <w:rPr>
          <w:rFonts w:hint="eastAsia"/>
          <w:b/>
          <w:bCs/>
          <w:sz w:val="36"/>
        </w:rPr>
        <w:t>力矩分配法</w:t>
      </w:r>
      <w:r>
        <w:rPr>
          <w:rFonts w:hint="eastAsia"/>
          <w:b/>
          <w:bCs/>
          <w:sz w:val="36"/>
          <w:lang w:eastAsia="zh-CN"/>
        </w:rPr>
        <w:t>全过程分析</w:t>
      </w:r>
    </w:p>
    <w:p>
      <w:pPr>
        <w:adjustRightInd w:val="0"/>
        <w:snapToGrid w:val="0"/>
        <w:spacing w:line="360" w:lineRule="auto"/>
        <w:ind w:left="-8" w:hanging="8"/>
        <w:jc w:val="center"/>
        <w:rPr>
          <w:rFonts w:hint="eastAsia" w:eastAsiaTheme="minorEastAsia"/>
          <w:b/>
          <w:bCs/>
          <w:color w:val="FF0000"/>
          <w:sz w:val="24"/>
          <w:lang w:eastAsia="zh-CN"/>
        </w:rPr>
      </w:pPr>
      <w:r>
        <w:rPr>
          <w:rFonts w:hint="eastAsia"/>
          <w:b/>
          <w:bCs/>
          <w:color w:val="FF0000"/>
          <w:sz w:val="24"/>
          <w:lang w:eastAsia="zh-CN"/>
        </w:rPr>
        <w:t>（</w:t>
      </w:r>
      <w:r>
        <w:rPr>
          <w:rFonts w:hint="eastAsia"/>
          <w:b/>
          <w:bCs/>
          <w:color w:val="FF0000"/>
          <w:sz w:val="24"/>
          <w:lang w:val="en-US" w:eastAsia="zh-CN"/>
        </w:rPr>
        <w:t>系统演示模式已修改，本小节内容待修正</w:t>
      </w:r>
      <w:r>
        <w:rPr>
          <w:rFonts w:hint="eastAsia"/>
          <w:b/>
          <w:bCs/>
          <w:color w:val="FF0000"/>
          <w:sz w:val="24"/>
          <w:lang w:eastAsia="zh-CN"/>
        </w:rPr>
        <w:t>）</w:t>
      </w:r>
    </w:p>
    <w:p>
      <w:pPr>
        <w:adjustRightInd w:val="0"/>
        <w:snapToGrid w:val="0"/>
        <w:spacing w:line="360" w:lineRule="auto"/>
        <w:ind w:left="-17" w:firstLine="42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本分析</w:t>
      </w:r>
      <w:r>
        <w:rPr>
          <w:rFonts w:hint="eastAsia"/>
          <w:sz w:val="24"/>
        </w:rPr>
        <w:t>功能适用于只存在结点角位移的</w:t>
      </w:r>
      <w:r>
        <w:rPr>
          <w:rFonts w:hint="eastAsia"/>
          <w:sz w:val="24"/>
          <w:lang w:eastAsia="zh-CN"/>
        </w:rPr>
        <w:t>梁或刚架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故不直接支持剪力静定体系（无剪力分配只能用于交互作业，未上线）</w:t>
      </w:r>
    </w:p>
    <w:p>
      <w:pPr>
        <w:adjustRightInd w:val="0"/>
        <w:snapToGrid w:val="0"/>
        <w:spacing w:line="360" w:lineRule="auto"/>
        <w:ind w:left="-17" w:firstLine="420"/>
        <w:rPr>
          <w:sz w:val="24"/>
        </w:rPr>
      </w:pPr>
      <w:r>
        <w:rPr>
          <w:rFonts w:hint="eastAsia"/>
          <w:sz w:val="24"/>
        </w:rPr>
        <w:t>一、系统计算结点转动刚度和杆端转动刚度，并计算出各结点的分配系数，填入杆端对应的方框内。根据荷载计算出固端弯矩，写在对应杆端的下方，如下图所示。</w:t>
      </w:r>
    </w:p>
    <w:p>
      <w:pPr>
        <w:adjustRightInd w:val="0"/>
        <w:snapToGrid w:val="0"/>
        <w:spacing w:line="360" w:lineRule="auto"/>
        <w:ind w:left="-17" w:firstLine="420"/>
        <w:rPr>
          <w:sz w:val="24"/>
        </w:rPr>
      </w:pPr>
      <w:r>
        <w:drawing>
          <wp:inline distT="0" distB="0" distL="114300" distR="114300">
            <wp:extent cx="3670300" cy="725170"/>
            <wp:effectExtent l="0" t="0" r="6350" b="1778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17" w:firstLine="420"/>
        <w:rPr>
          <w:sz w:val="24"/>
        </w:rPr>
      </w:pPr>
      <w:r>
        <w:rPr>
          <w:rFonts w:hint="eastAsia"/>
          <w:sz w:val="24"/>
        </w:rPr>
        <w:t>为避免文字显示重叠，以虚线表示结构杆件，而在显示杆端时，将杆件的杆端均向内收缩（收缩后的杆件对象用粗线绘制），便于表示各杆端的固端弯矩、分配系数、分配弯矩等量。用户在使用时，可</w:t>
      </w:r>
      <w:r>
        <w:rPr>
          <w:rFonts w:hint="eastAsia"/>
          <w:sz w:val="24"/>
          <w:lang w:eastAsia="zh-CN"/>
        </w:rPr>
        <w:t>利用“滚轮”、“滚轮</w:t>
      </w:r>
      <w:r>
        <w:rPr>
          <w:rFonts w:hint="eastAsia"/>
          <w:sz w:val="24"/>
          <w:lang w:val="en-US" w:eastAsia="zh-CN"/>
        </w:rPr>
        <w:t>+CTRL”</w:t>
      </w:r>
      <w:r>
        <w:rPr>
          <w:rFonts w:hint="eastAsia"/>
          <w:sz w:val="24"/>
        </w:rPr>
        <w:t>将简图放大</w:t>
      </w:r>
      <w:r>
        <w:rPr>
          <w:rFonts w:hint="eastAsia"/>
          <w:sz w:val="24"/>
          <w:lang w:eastAsia="zh-CN"/>
        </w:rPr>
        <w:t>至适当状态</w:t>
      </w:r>
      <w:r>
        <w:rPr>
          <w:rFonts w:hint="eastAsia"/>
          <w:sz w:val="24"/>
        </w:rPr>
        <w:t>，再使用本功能。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  <w:r>
        <w:rPr>
          <w:rFonts w:hint="eastAsia"/>
          <w:sz w:val="24"/>
        </w:rPr>
        <w:t>分配系数保留三位小数。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</w:p>
    <w:p>
      <w:pPr>
        <w:adjustRightInd w:val="0"/>
        <w:snapToGrid w:val="0"/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二、结点锁定时，根据单元荷载，计算出各结点的不平衡力矩，填写至结点位置，如下图所示的椭圆色块区域。</w:t>
      </w:r>
    </w:p>
    <w:p>
      <w:pPr>
        <w:adjustRightInd w:val="0"/>
        <w:snapToGrid w:val="0"/>
        <w:spacing w:line="360" w:lineRule="auto"/>
        <w:jc w:val="center"/>
      </w:pPr>
      <w:r>
        <w:drawing>
          <wp:inline distT="0" distB="0" distL="114300" distR="114300">
            <wp:extent cx="3740785" cy="620395"/>
            <wp:effectExtent l="0" t="0" r="12065" b="825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</w:pPr>
    </w:p>
    <w:p>
      <w:pPr>
        <w:adjustRightInd w:val="0"/>
        <w:snapToGrid w:val="0"/>
        <w:spacing w:line="360" w:lineRule="auto"/>
        <w:ind w:left="480"/>
        <w:rPr>
          <w:sz w:val="24"/>
        </w:rPr>
      </w:pPr>
      <w:r>
        <w:rPr>
          <w:rFonts w:hint="eastAsia"/>
          <w:sz w:val="24"/>
        </w:rPr>
        <w:t>三、结点不平衡力矩的分配和传递</w:t>
      </w:r>
    </w:p>
    <w:p>
      <w:pPr>
        <w:adjustRightInd w:val="0"/>
        <w:snapToGrid w:val="0"/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3759200" cy="624205"/>
            <wp:effectExtent l="0" t="0" r="12700" b="444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  <w:r>
        <w:rPr>
          <w:rFonts w:hint="eastAsia"/>
          <w:sz w:val="24"/>
        </w:rPr>
        <w:t>力矩分配法为渐进法，对多结点力矩分配，由于结点约束和传递力矩的影响，结点不平衡力矩无法完全消除至0。对于平面刚架，由于存在多向杆件，若分配次数过多，显示过程中的文字避让难以实现，建议精度无需要求得过高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  <w:lang w:eastAsia="zh-CN"/>
        </w:rPr>
        <w:t>每一次分配时各结点的不平移力均会显示于结点上方，并同时动态或静态显示当前的变形状态，用户可感受分配中“变形渐近”过程。</w:t>
      </w:r>
    </w:p>
    <w:p>
      <w:pPr>
        <w:adjustRightInd w:val="0"/>
        <w:snapToGrid w:val="0"/>
        <w:spacing w:line="360" w:lineRule="auto"/>
        <w:ind w:left="-17" w:firstLine="420"/>
        <w:rPr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color w:val="5B9BD5" w:themeColor="accent1"/>
          <w:sz w:val="24"/>
          <w14:textFill>
            <w14:solidFill>
              <w14:schemeClr w14:val="accent1"/>
            </w14:solidFill>
          </w14:textFill>
        </w:rPr>
        <w:sectPr>
          <w:headerReference r:id="rId14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8" w:hanging="8"/>
        <w:jc w:val="center"/>
        <w:rPr>
          <w:rFonts w:hint="eastAsia" w:eastAsiaTheme="minorEastAsia"/>
          <w:b/>
          <w:bCs/>
          <w:sz w:val="36"/>
          <w:lang w:eastAsia="zh-CN"/>
        </w:rPr>
      </w:pPr>
      <w:r>
        <w:rPr>
          <w:rFonts w:hint="eastAsia"/>
          <w:b/>
          <w:bCs/>
          <w:sz w:val="36"/>
          <w:lang w:val="en-US" w:eastAsia="zh-CN"/>
        </w:rPr>
        <w:t>影响线演示</w:t>
      </w:r>
    </w:p>
    <w:p>
      <w:pPr>
        <w:adjustRightInd w:val="0"/>
        <w:snapToGrid w:val="0"/>
        <w:spacing w:line="360" w:lineRule="auto"/>
        <w:ind w:left="-8" w:hanging="8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本分析</w:t>
      </w:r>
      <w:r>
        <w:rPr>
          <w:rFonts w:hint="eastAsia"/>
          <w:sz w:val="24"/>
        </w:rPr>
        <w:t>功能适用于</w:t>
      </w:r>
      <w:r>
        <w:rPr>
          <w:rFonts w:hint="eastAsia"/>
          <w:sz w:val="24"/>
          <w:lang w:eastAsia="zh-CN"/>
        </w:rPr>
        <w:t>梁或刚架（</w:t>
      </w:r>
      <w:r>
        <w:rPr>
          <w:rFonts w:hint="eastAsia"/>
          <w:sz w:val="24"/>
          <w:lang w:val="en-US" w:eastAsia="zh-CN"/>
        </w:rPr>
        <w:t>静定和超静定</w:t>
      </w:r>
      <w:r>
        <w:rPr>
          <w:rFonts w:hint="eastAsia"/>
          <w:sz w:val="24"/>
          <w:lang w:eastAsia="zh-CN"/>
        </w:rPr>
        <w:t>），</w:t>
      </w:r>
      <w:r>
        <w:rPr>
          <w:rFonts w:hint="eastAsia"/>
          <w:sz w:val="24"/>
          <w:lang w:val="en-US" w:eastAsia="zh-CN"/>
        </w:rPr>
        <w:t>在竖向荷载作用下影响线分析的结果演示。</w:t>
      </w:r>
    </w:p>
    <w:p>
      <w:pPr>
        <w:numPr>
          <w:ilvl w:val="0"/>
          <w:numId w:val="16"/>
        </w:numPr>
        <w:adjustRightInd w:val="0"/>
        <w:snapToGrid w:val="0"/>
        <w:spacing w:line="360" w:lineRule="auto"/>
        <w:ind w:left="-17" w:firstLine="42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荷载设置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41275</wp:posOffset>
            </wp:positionV>
            <wp:extent cx="1195070" cy="1127760"/>
            <wp:effectExtent l="9525" t="9525" r="14605" b="24765"/>
            <wp:wrapSquare wrapText="bothSides"/>
            <wp:docPr id="1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27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lang w:val="en-US" w:eastAsia="zh-CN"/>
        </w:rPr>
        <w:t>荷载路径</w:t>
      </w:r>
      <w:r>
        <w:rPr>
          <w:rFonts w:hint="eastAsia"/>
          <w:sz w:val="24"/>
          <w:lang w:val="en-US" w:eastAsia="zh-CN"/>
        </w:rPr>
        <w:t>通过“荷载路径”指定。用户移动鼠标，选择荷载移动时经过的杆件，选中后，杆件下方会显示“路径选中”；再次选择已选中杆件，会取消本杆的选择。荷载路径与选择次序无关，自动从左向右进行排序。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荷载路径</w:t>
      </w:r>
      <w:r>
        <w:rPr>
          <w:rFonts w:hint="eastAsia" w:eastAsiaTheme="minorEastAsia"/>
          <w:sz w:val="24"/>
          <w:em w:val="dot"/>
          <w:lang w:val="en-US" w:eastAsia="zh-CN"/>
        </w:rPr>
        <w:t>可间断</w:t>
      </w:r>
      <w:r>
        <w:rPr>
          <w:rFonts w:hint="eastAsia"/>
          <w:sz w:val="24"/>
          <w:lang w:val="en-US" w:eastAsia="zh-CN"/>
        </w:rPr>
        <w:t>、</w:t>
      </w:r>
      <w:r>
        <w:rPr>
          <w:rFonts w:hint="eastAsia" w:eastAsiaTheme="minorEastAsia"/>
          <w:sz w:val="24"/>
          <w:em w:val="dot"/>
          <w:lang w:val="en-US" w:eastAsia="zh-CN"/>
        </w:rPr>
        <w:t>可不连续</w:t>
      </w:r>
      <w:r>
        <w:rPr>
          <w:rFonts w:hint="eastAsia"/>
          <w:sz w:val="24"/>
          <w:lang w:val="en-US" w:eastAsia="zh-CN"/>
        </w:rPr>
        <w:t>，但竖向投影</w:t>
      </w:r>
      <w:r>
        <w:rPr>
          <w:rFonts w:hint="eastAsia"/>
          <w:b/>
          <w:bCs/>
          <w:color w:val="0000FF"/>
          <w:sz w:val="24"/>
          <w:lang w:val="en-US" w:eastAsia="zh-CN"/>
        </w:rPr>
        <w:t>暂</w:t>
      </w:r>
      <w:r>
        <w:rPr>
          <w:rFonts w:hint="eastAsia" w:eastAsiaTheme="minorEastAsia"/>
          <w:b/>
          <w:bCs/>
          <w:color w:val="0000FF"/>
          <w:sz w:val="24"/>
          <w:em w:val="dot"/>
          <w:lang w:val="en-US" w:eastAsia="zh-CN"/>
        </w:rPr>
        <w:t>不允许重叠</w:t>
      </w:r>
      <w:r>
        <w:rPr>
          <w:rFonts w:hint="eastAsia"/>
          <w:sz w:val="24"/>
          <w:lang w:val="en-US" w:eastAsia="zh-CN"/>
        </w:rPr>
        <w:t>。</w:t>
      </w:r>
    </w:p>
    <w:tbl>
      <w:tblPr>
        <w:tblStyle w:val="9"/>
        <w:tblW w:w="0" w:type="auto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44"/>
        <w:gridCol w:w="3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856740" cy="591820"/>
                  <wp:effectExtent l="0" t="0" r="10160" b="17780"/>
                  <wp:docPr id="1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rcRect l="2440" t="10512" r="2440" b="5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vertAlign w:val="baseline"/>
              </w:rPr>
            </w:pPr>
            <w:r>
              <w:drawing>
                <wp:inline distT="0" distB="0" distL="114300" distR="114300">
                  <wp:extent cx="1970405" cy="572770"/>
                  <wp:effectExtent l="0" t="0" r="10795" b="17780"/>
                  <wp:docPr id="1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rcRect l="2635" t="19666" r="2298" b="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4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18"/>
                <w:szCs w:val="21"/>
                <w:vertAlign w:val="baseline"/>
                <w:lang w:val="en-US" w:eastAsia="zh-CN"/>
              </w:rPr>
              <w:t>允许路径</w:t>
            </w:r>
          </w:p>
        </w:tc>
        <w:tc>
          <w:tcPr>
            <w:tcW w:w="32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eastAsiaTheme="minorEastAsia"/>
                <w:b/>
                <w:bCs/>
                <w:sz w:val="18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C00000"/>
                <w:sz w:val="18"/>
                <w:szCs w:val="21"/>
                <w:vertAlign w:val="baseline"/>
                <w:lang w:val="en-US" w:eastAsia="zh-CN"/>
              </w:rPr>
              <w:t>错误路径</w:t>
            </w:r>
          </w:p>
        </w:tc>
      </w:tr>
    </w:tbl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荷载模式只支持竖向力，默认为</w:t>
      </w:r>
      <w:r>
        <w:rPr>
          <w:rFonts w:hint="eastAsia"/>
          <w:b/>
          <w:bCs/>
          <w:color w:val="0000FF"/>
          <w:sz w:val="24"/>
          <w:lang w:val="en-US" w:eastAsia="zh-CN"/>
        </w:rPr>
        <w:t>竖向单位力</w:t>
      </w:r>
      <w:r>
        <w:rPr>
          <w:rFonts w:hint="eastAsia"/>
          <w:sz w:val="24"/>
          <w:lang w:val="en-US" w:eastAsia="zh-CN"/>
        </w:rPr>
        <w:t>，荷载参数可进一步在“荷载参数”进行设置。未进入荷载参数设置，即取为默认的竖向单位力。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荷载参数另外支持</w:t>
      </w:r>
      <w:r>
        <w:rPr>
          <w:rFonts w:hint="eastAsia"/>
          <w:b/>
          <w:bCs/>
          <w:sz w:val="24"/>
          <w:lang w:val="en-US" w:eastAsia="zh-CN"/>
        </w:rPr>
        <w:t>行列荷载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b/>
          <w:bCs/>
          <w:sz w:val="24"/>
          <w:lang w:val="en-US" w:eastAsia="zh-CN"/>
        </w:rPr>
        <w:t>定长均布</w:t>
      </w:r>
      <w:r>
        <w:rPr>
          <w:rFonts w:hint="eastAsia"/>
          <w:sz w:val="24"/>
          <w:lang w:val="en-US" w:eastAsia="zh-CN"/>
        </w:rPr>
        <w:t>两类。两类荷载的移动位置参数，均以第一荷载（从左至右，右为最前端）作为横轴定位。在第一荷载超出路径后，其余荷载仍将持续作用于路径。因此，类似影响线函数</w:t>
      </w:r>
      <w:r>
        <w:rPr>
          <w:rFonts w:hint="eastAsia"/>
          <w:b/>
          <w:bCs/>
          <w:color w:val="0000FF"/>
          <w:sz w:val="24"/>
          <w:lang w:val="en-US" w:eastAsia="zh-CN"/>
        </w:rPr>
        <w:t>定义域可能会超出路径范围</w:t>
      </w:r>
      <w:r>
        <w:rPr>
          <w:rFonts w:hint="eastAsia"/>
          <w:sz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sz w:val="24"/>
          <w:lang w:val="en-US" w:eastAsia="zh-CN"/>
        </w:rPr>
        <w:t>行列荷载</w:t>
      </w:r>
      <w:r>
        <w:rPr>
          <w:rFonts w:hint="eastAsia"/>
          <w:sz w:val="24"/>
          <w:lang w:val="en-US" w:eastAsia="zh-CN"/>
        </w:rPr>
        <w:t>参数中可设置</w:t>
      </w:r>
      <w:r>
        <w:rPr>
          <w:rFonts w:hint="eastAsia"/>
          <w:color w:val="0000FF"/>
          <w:sz w:val="24"/>
          <w:lang w:val="en-US" w:eastAsia="zh-CN"/>
        </w:rPr>
        <w:t>荷载数目</w:t>
      </w:r>
      <w:r>
        <w:rPr>
          <w:rFonts w:hint="eastAsia"/>
          <w:sz w:val="24"/>
          <w:lang w:val="en-US" w:eastAsia="zh-CN"/>
        </w:rPr>
        <w:t>、</w:t>
      </w:r>
      <w:r>
        <w:rPr>
          <w:rFonts w:hint="eastAsia"/>
          <w:color w:val="0000FF"/>
          <w:sz w:val="24"/>
          <w:lang w:val="en-US" w:eastAsia="zh-CN"/>
        </w:rPr>
        <w:t>荷载值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color w:val="0000FF"/>
          <w:sz w:val="24"/>
          <w:lang w:val="en-US" w:eastAsia="zh-CN"/>
        </w:rPr>
        <w:t>荷载间距</w:t>
      </w:r>
      <w:r>
        <w:rPr>
          <w:rFonts w:hint="eastAsia"/>
          <w:sz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定长分布</w:t>
      </w:r>
      <w:r>
        <w:rPr>
          <w:rFonts w:hint="eastAsia"/>
          <w:sz w:val="24"/>
          <w:lang w:val="en-US" w:eastAsia="zh-CN"/>
        </w:rPr>
        <w:t>参数中可设置</w:t>
      </w:r>
      <w:r>
        <w:rPr>
          <w:rFonts w:hint="eastAsia"/>
          <w:color w:val="0000FF"/>
          <w:sz w:val="24"/>
          <w:lang w:val="en-US" w:eastAsia="zh-CN"/>
        </w:rPr>
        <w:t>荷载值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color w:val="0000FF"/>
          <w:sz w:val="24"/>
          <w:lang w:val="en-US" w:eastAsia="zh-CN"/>
        </w:rPr>
        <w:t>荷载长度</w:t>
      </w:r>
      <w:r>
        <w:rPr>
          <w:rFonts w:hint="eastAsia"/>
          <w:sz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1901825" cy="1356360"/>
            <wp:effectExtent l="9525" t="9525" r="12700" b="24765"/>
            <wp:docPr id="1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356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92935" cy="1355090"/>
            <wp:effectExtent l="9525" t="9525" r="21590" b="26035"/>
            <wp:docPr id="1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355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【说明】如果行列荷载数目为1，系统不会接受用户输入的荷载值，分析时仍将取为竖向单位力。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【说明】</w:t>
      </w:r>
      <w:r>
        <w:rPr>
          <w:rFonts w:hint="eastAsia"/>
          <w:color w:val="0000FF"/>
          <w:sz w:val="24"/>
          <w:lang w:val="en-US" w:eastAsia="zh-CN"/>
        </w:rPr>
        <w:t>行列荷载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color w:val="0000FF"/>
          <w:sz w:val="24"/>
          <w:lang w:val="en-US" w:eastAsia="zh-CN"/>
        </w:rPr>
        <w:t>定向均布</w:t>
      </w:r>
      <w:r>
        <w:rPr>
          <w:rFonts w:hint="eastAsia"/>
          <w:sz w:val="24"/>
          <w:lang w:val="en-US" w:eastAsia="zh-CN"/>
        </w:rPr>
        <w:t>，其影响线定义的函数模式表达，与常规单位力下影响线稍有不同。路径间断时图形存在冲突暂未优化，行列荷载和定长均布荷载在影响线演示时，目前</w:t>
      </w:r>
      <w:r>
        <w:rPr>
          <w:rFonts w:hint="eastAsia"/>
          <w:color w:val="FF0000"/>
          <w:sz w:val="24"/>
          <w:lang w:val="en-US" w:eastAsia="zh-CN"/>
        </w:rPr>
        <w:t>只适用于</w:t>
      </w:r>
      <w:r>
        <w:rPr>
          <w:rFonts w:hint="eastAsia"/>
          <w:b/>
          <w:bCs/>
          <w:color w:val="FF0000"/>
          <w:sz w:val="24"/>
          <w:lang w:val="en-US" w:eastAsia="zh-CN"/>
        </w:rPr>
        <w:t>水平路径</w:t>
      </w:r>
      <w:r>
        <w:rPr>
          <w:rFonts w:hint="eastAsia"/>
          <w:sz w:val="24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</w:p>
    <w:p>
      <w:pPr>
        <w:widowControl w:val="0"/>
        <w:numPr>
          <w:ilvl w:val="0"/>
          <w:numId w:val="16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51435</wp:posOffset>
            </wp:positionV>
            <wp:extent cx="1388110" cy="988695"/>
            <wp:effectExtent l="9525" t="9525" r="12065" b="11430"/>
            <wp:wrapSquare wrapText="bothSides"/>
            <wp:docPr id="1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rcRect l="2620" r="7900"/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98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lang w:val="en-US" w:eastAsia="zh-CN"/>
        </w:rPr>
        <w:t>影响线演示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路径和荷载设置后，可在影响线演示中继续选择反力或内力。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sz w:val="24"/>
          <w:lang w:val="en-US" w:eastAsia="zh-CN"/>
        </w:rPr>
        <w:t>反力</w:t>
      </w:r>
      <w:r>
        <w:rPr>
          <w:rFonts w:hint="eastAsia"/>
          <w:sz w:val="24"/>
          <w:lang w:val="en-US" w:eastAsia="zh-CN"/>
        </w:rPr>
        <w:t>需要进一步指定支座、指定反力自由度（水平-1，竖向-2，转动-2）；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color w:val="0000FF"/>
          <w:sz w:val="24"/>
          <w:lang w:val="en-US" w:eastAsia="zh-CN"/>
        </w:rPr>
        <w:t>内力</w:t>
      </w:r>
      <w:r>
        <w:rPr>
          <w:rFonts w:hint="eastAsia"/>
          <w:sz w:val="24"/>
          <w:lang w:val="en-US" w:eastAsia="zh-CN"/>
        </w:rPr>
        <w:t>需要进一步指定杆件、指定截面位置（距始端的相对长度）、指定截面自由度方向（轴力-1，剪力-2，弯矩-3）。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val="en-US" w:eastAsia="zh-CN"/>
        </w:rPr>
        <w:t>指定结束后，系统动态显示荷载移动过程，所指定分析量值的数值变化。动态显示结束后，显示影响线函数图。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【说明】系统为简化算法，未特别寻找精确的极值。竖标是按杆段均分下某一截面所确定，因缩放，影响线竖标定位可能会左右发生微调，近于极值处竖标的标值，会发生细微改变。</w:t>
      </w:r>
    </w:p>
    <w:p>
      <w:pPr>
        <w:widowControl w:val="0"/>
        <w:numPr>
          <w:ilvl w:val="0"/>
          <w:numId w:val="16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295275</wp:posOffset>
            </wp:positionV>
            <wp:extent cx="1141095" cy="1289685"/>
            <wp:effectExtent l="9525" t="9525" r="11430" b="15240"/>
            <wp:wrapSquare wrapText="bothSides"/>
            <wp:docPr id="1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28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lang w:val="en-US" w:eastAsia="zh-CN"/>
        </w:rPr>
        <w:t>内力包络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目前内力包络不是常规结构设计中的多工况包络模式，仅用于演示影响线支持荷载模式下的内力包络概念。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路径和荷载设置后，动态显示荷载移动过程中内力图变化，荷载移动结束后，会再一次动态展示内力包络过程（历程保留历史最大值和最小值），最后显示内力包络图。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left"/>
        <w:rPr>
          <w:rFonts w:hint="default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  <w:r>
        <w:rPr>
          <w:rFonts w:hint="eastAsia"/>
          <w:sz w:val="24"/>
          <w:lang w:val="en-US" w:eastAsia="zh-CN"/>
        </w:rPr>
        <w:t>【说明】影响线和内力包络值显示时，系统使用离散点采值算法，所标示数值存在一定的误差。</w:t>
      </w:r>
    </w:p>
    <w:p>
      <w:pPr>
        <w:adjustRightInd w:val="0"/>
        <w:snapToGrid w:val="0"/>
        <w:spacing w:line="360" w:lineRule="auto"/>
        <w:ind w:left="-8" w:firstLine="2108"/>
        <w:jc w:val="left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自由振动振型演示</w:t>
      </w:r>
    </w:p>
    <w:p>
      <w:pPr>
        <w:adjustRightInd w:val="0"/>
        <w:snapToGrid w:val="0"/>
        <w:spacing w:line="360" w:lineRule="auto"/>
        <w:ind w:left="-8" w:firstLine="2108"/>
        <w:jc w:val="left"/>
        <w:rPr>
          <w:rFonts w:hint="eastAsia"/>
          <w:b/>
          <w:bCs/>
          <w:sz w:val="36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szCs w:val="24"/>
        </w:rPr>
        <w:sectPr>
          <w:headerReference r:id="rId15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17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用户输入结构质量后，系统可进行</w:t>
      </w:r>
      <w:r>
        <w:rPr>
          <w:rFonts w:hint="eastAsia"/>
          <w:sz w:val="24"/>
          <w:szCs w:val="24"/>
          <w:lang w:val="en-US" w:eastAsia="zh-CN"/>
        </w:rPr>
        <w:t>动力模态</w:t>
      </w:r>
      <w:r>
        <w:rPr>
          <w:rFonts w:hint="eastAsia"/>
          <w:sz w:val="24"/>
          <w:szCs w:val="24"/>
        </w:rPr>
        <w:t>分析。</w:t>
      </w:r>
    </w:p>
    <w:p>
      <w:pPr>
        <w:adjustRightInd w:val="0"/>
        <w:snapToGrid w:val="0"/>
        <w:spacing w:line="360" w:lineRule="auto"/>
        <w:ind w:left="-17"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振型显示时，在显示区域单击</w:t>
      </w:r>
      <w:r>
        <w:rPr>
          <w:rFonts w:hint="eastAsia"/>
          <w:b/>
          <w:bCs/>
          <w:color w:val="00B0F0"/>
          <w:sz w:val="24"/>
          <w:szCs w:val="24"/>
        </w:rPr>
        <w:t>鼠标左键</w:t>
      </w:r>
      <w:r>
        <w:rPr>
          <w:rFonts w:hint="eastAsia"/>
          <w:sz w:val="24"/>
          <w:szCs w:val="24"/>
        </w:rPr>
        <w:t>，可显示下一振型；单击</w:t>
      </w:r>
      <w:r>
        <w:rPr>
          <w:rFonts w:hint="eastAsia"/>
          <w:b/>
          <w:bCs/>
          <w:color w:val="00B0F0"/>
          <w:sz w:val="24"/>
          <w:szCs w:val="24"/>
        </w:rPr>
        <w:t>鼠标右键</w:t>
      </w:r>
      <w:r>
        <w:rPr>
          <w:rFonts w:hint="eastAsia"/>
          <w:sz w:val="24"/>
          <w:szCs w:val="24"/>
        </w:rPr>
        <w:t>，可显示上一振型。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对于有分布质量的杆</w:t>
      </w:r>
      <w:r>
        <w:rPr>
          <w:rFonts w:hint="eastAsia"/>
          <w:sz w:val="24"/>
          <w:szCs w:val="24"/>
          <w:lang w:val="en-US" w:eastAsia="zh-CN"/>
        </w:rPr>
        <w:t>件</w:t>
      </w:r>
      <w:r>
        <w:rPr>
          <w:rFonts w:hint="eastAsia"/>
          <w:sz w:val="24"/>
          <w:szCs w:val="24"/>
        </w:rPr>
        <w:t>，需用户输入</w:t>
      </w:r>
      <w:r>
        <w:rPr>
          <w:rFonts w:hint="eastAsia"/>
          <w:sz w:val="24"/>
          <w:szCs w:val="24"/>
          <w:lang w:eastAsia="zh-CN"/>
        </w:rPr>
        <w:t>线密度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分布质量杆的单元质量矩阵可按“集中质量”或“一致质量”模式集成。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支持</w:t>
      </w:r>
      <w:r>
        <w:rPr>
          <w:rFonts w:hint="eastAsia"/>
          <w:b/>
          <w:bCs/>
          <w:color w:val="00B0F0"/>
          <w:sz w:val="24"/>
          <w:szCs w:val="24"/>
        </w:rPr>
        <w:t>滚轮</w:t>
      </w:r>
      <w:r>
        <w:rPr>
          <w:rFonts w:hint="eastAsia"/>
          <w:sz w:val="24"/>
          <w:szCs w:val="24"/>
        </w:rPr>
        <w:t>对模型图放大缩小，支持</w:t>
      </w:r>
      <w:r>
        <w:rPr>
          <w:rFonts w:hint="eastAsia"/>
          <w:b/>
          <w:bCs/>
          <w:color w:val="00B0F0"/>
          <w:sz w:val="24"/>
          <w:szCs w:val="24"/>
        </w:rPr>
        <w:t>CTRL+滚轮</w:t>
      </w:r>
      <w:r>
        <w:rPr>
          <w:rFonts w:hint="eastAsia"/>
          <w:sz w:val="24"/>
          <w:szCs w:val="24"/>
        </w:rPr>
        <w:t>对振型幅值的放大缩小。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b/>
          <w:bCs/>
          <w:color w:val="0000FF"/>
          <w:sz w:val="24"/>
          <w:szCs w:val="24"/>
        </w:rPr>
        <w:t>动态显示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>和“</w:t>
      </w:r>
      <w:r>
        <w:rPr>
          <w:rFonts w:hint="eastAsia"/>
          <w:b/>
          <w:bCs/>
          <w:color w:val="0000FF"/>
          <w:sz w:val="24"/>
          <w:szCs w:val="24"/>
          <w:lang w:val="en-US" w:eastAsia="zh-CN"/>
        </w:rPr>
        <w:t>同屏显示多模态”</w:t>
      </w:r>
      <w:r>
        <w:rPr>
          <w:rFonts w:hint="eastAsia"/>
          <w:sz w:val="24"/>
          <w:szCs w:val="24"/>
        </w:rPr>
        <w:t>，对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</w:rPr>
        <w:t>振型进行动态显示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动态显示时</w:t>
      </w:r>
      <w:r>
        <w:rPr>
          <w:rFonts w:hint="eastAsia"/>
          <w:b/>
          <w:bCs/>
          <w:sz w:val="24"/>
          <w:szCs w:val="24"/>
          <w:lang w:val="en-US" w:eastAsia="zh-CN"/>
        </w:rPr>
        <w:t>非严格对应于本阶频率</w:t>
      </w:r>
      <w:r>
        <w:rPr>
          <w:rFonts w:hint="eastAsia"/>
          <w:sz w:val="24"/>
          <w:szCs w:val="24"/>
          <w:lang w:val="en-US" w:eastAsia="zh-CN"/>
        </w:rPr>
        <w:t>，运动快慢仅为示意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说明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  <w:lang w:val="en-US" w:eastAsia="zh-CN"/>
        </w:rPr>
        <w:t>因刷新率和视觉暂留，高阶显示可能慢于低阶。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所显示的振型，根据两阶特征值（</w:t>
      </w:r>
      <w:r>
        <w:rPr>
          <w:rFonts w:hint="default" w:ascii="Symbol" w:hAnsi="Symbol" w:cs="Symbol"/>
          <w:i/>
          <w:iCs/>
          <w:sz w:val="24"/>
          <w:lang w:val="en-US" w:eastAsia="zh-CN"/>
        </w:rPr>
        <w:t>w</w:t>
      </w:r>
      <w:r>
        <w:rPr>
          <w:rFonts w:hint="eastAsia"/>
          <w:sz w:val="24"/>
          <w:vertAlign w:val="superscript"/>
          <w:lang w:val="en-US" w:eastAsia="zh-CN"/>
        </w:rPr>
        <w:t>2</w:t>
      </w:r>
      <w:r>
        <w:rPr>
          <w:rFonts w:hint="eastAsia"/>
          <w:sz w:val="24"/>
          <w:lang w:val="en-US" w:eastAsia="zh-CN"/>
        </w:rPr>
        <w:t>）相差1000倍作为依据。超出此差值，则其后高阶不再支持显示。</w:t>
      </w:r>
    </w:p>
    <w:p>
      <w:pPr>
        <w:adjustRightInd w:val="0"/>
        <w:snapToGrid w:val="0"/>
        <w:spacing w:line="360" w:lineRule="auto"/>
      </w:pPr>
    </w:p>
    <w:p>
      <w:pPr>
        <w:adjustRightInd w:val="0"/>
        <w:snapToGrid w:val="0"/>
        <w:spacing w:line="360" w:lineRule="auto"/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5"/>
        <w:gridCol w:w="4489"/>
        <w:gridCol w:w="4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25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sz w:val="24"/>
                <w:vertAlign w:val="baseline"/>
              </w:rPr>
            </w:pPr>
            <w:r>
              <w:drawing>
                <wp:inline distT="0" distB="0" distL="114300" distR="114300">
                  <wp:extent cx="2111375" cy="1418590"/>
                  <wp:effectExtent l="0" t="0" r="3175" b="10160"/>
                  <wp:docPr id="3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sz w:val="24"/>
                <w:vertAlign w:val="baseline"/>
              </w:rPr>
            </w:pPr>
            <w:r>
              <w:drawing>
                <wp:inline distT="0" distB="0" distL="114300" distR="114300">
                  <wp:extent cx="2305685" cy="1883410"/>
                  <wp:effectExtent l="0" t="0" r="18415" b="2540"/>
                  <wp:docPr id="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/>
                <w:sz w:val="24"/>
                <w:vertAlign w:val="baseline"/>
              </w:rPr>
            </w:pPr>
            <w:r>
              <w:drawing>
                <wp:inline distT="0" distB="0" distL="114300" distR="114300">
                  <wp:extent cx="2337435" cy="1861820"/>
                  <wp:effectExtent l="0" t="0" r="5715" b="5080"/>
                  <wp:docPr id="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186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8" w:firstLine="2108"/>
        <w:jc w:val="left"/>
        <w:rPr>
          <w:b/>
          <w:bCs/>
          <w:sz w:val="36"/>
        </w:rPr>
      </w:pPr>
      <w:r>
        <w:rPr>
          <w:rFonts w:hint="eastAsia"/>
          <w:b/>
          <w:bCs/>
          <w:sz w:val="36"/>
          <w:lang w:eastAsia="zh-CN"/>
        </w:rPr>
        <w:t>强迫</w:t>
      </w:r>
      <w:r>
        <w:rPr>
          <w:rFonts w:hint="eastAsia"/>
          <w:b/>
          <w:bCs/>
          <w:sz w:val="36"/>
        </w:rPr>
        <w:t>振动</w:t>
      </w:r>
      <w:r>
        <w:rPr>
          <w:rFonts w:hint="eastAsia"/>
          <w:b/>
          <w:bCs/>
          <w:sz w:val="36"/>
          <w:lang w:eastAsia="zh-CN"/>
        </w:rPr>
        <w:t>分析</w:t>
      </w:r>
      <w:r>
        <w:rPr>
          <w:rFonts w:hint="eastAsia"/>
          <w:b/>
          <w:bCs/>
          <w:sz w:val="36"/>
        </w:rPr>
        <w:t>演示</w:t>
      </w:r>
    </w:p>
    <w:p>
      <w:pPr>
        <w:adjustRightInd w:val="0"/>
        <w:snapToGrid w:val="0"/>
        <w:spacing w:line="360" w:lineRule="auto"/>
        <w:ind w:left="-8" w:hanging="8"/>
        <w:rPr>
          <w:b/>
          <w:bCs/>
          <w:sz w:val="24"/>
        </w:r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eastAsia="zh-CN"/>
        </w:rPr>
        <w:sectPr>
          <w:headerReference r:id="rId16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同时具有</w:t>
      </w:r>
      <w:r>
        <w:rPr>
          <w:rFonts w:hint="eastAsia"/>
          <w:sz w:val="24"/>
        </w:rPr>
        <w:t>质量</w:t>
      </w:r>
      <w:r>
        <w:rPr>
          <w:rFonts w:hint="eastAsia"/>
          <w:sz w:val="24"/>
          <w:lang w:eastAsia="zh-CN"/>
        </w:rPr>
        <w:t>和荷载的结构</w:t>
      </w:r>
      <w:r>
        <w:rPr>
          <w:rFonts w:hint="eastAsia"/>
          <w:sz w:val="24"/>
        </w:rPr>
        <w:t>，系统可进行</w:t>
      </w:r>
      <w:r>
        <w:rPr>
          <w:rFonts w:hint="eastAsia"/>
          <w:sz w:val="24"/>
          <w:lang w:eastAsia="zh-CN"/>
        </w:rPr>
        <w:t>强迫振动</w:t>
      </w:r>
      <w:r>
        <w:rPr>
          <w:rFonts w:hint="eastAsia"/>
          <w:sz w:val="24"/>
        </w:rPr>
        <w:t>分析。</w:t>
      </w:r>
    </w:p>
    <w:p>
      <w:pPr>
        <w:numPr>
          <w:ilvl w:val="0"/>
          <w:numId w:val="17"/>
        </w:numPr>
        <w:adjustRightInd w:val="0"/>
        <w:snapToGrid w:val="0"/>
        <w:spacing w:line="360" w:lineRule="auto"/>
        <w:ind w:left="0" w:leftChars="0"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时程函数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进入强迫振动后，首先应进行时程函数的设定。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t>模型</w:t>
      </w:r>
      <w:r>
        <w:rPr>
          <w:rFonts w:hint="eastAsia"/>
          <w:sz w:val="24"/>
          <w:lang w:val="en-US" w:eastAsia="zh-CN"/>
        </w:rPr>
        <w:t>所</w:t>
      </w:r>
      <w:r>
        <w:rPr>
          <w:rFonts w:hint="eastAsia"/>
          <w:sz w:val="24"/>
          <w:lang w:eastAsia="zh-CN"/>
        </w:rPr>
        <w:t>输入荷载为幅值</w:t>
      </w:r>
      <w:r>
        <w:rPr>
          <w:rFonts w:hint="eastAsia"/>
          <w:b/>
          <w:bCs/>
          <w:i/>
          <w:iCs/>
          <w:sz w:val="24"/>
          <w:lang w:val="en-US" w:eastAsia="zh-CN"/>
        </w:rPr>
        <w:t>F</w:t>
      </w:r>
      <w:r>
        <w:rPr>
          <w:rFonts w:hint="eastAsia"/>
          <w:sz w:val="24"/>
          <w:lang w:eastAsia="zh-CN"/>
        </w:rPr>
        <w:t>，与</w:t>
      </w:r>
      <w:r>
        <w:rPr>
          <w:rFonts w:hint="eastAsia"/>
          <w:sz w:val="24"/>
          <w:lang w:val="en-US" w:eastAsia="zh-CN"/>
        </w:rPr>
        <w:t>时程函数</w:t>
      </w:r>
      <w:r>
        <w:rPr>
          <w:rFonts w:hint="eastAsia"/>
          <w:b/>
          <w:bCs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(</w:t>
      </w:r>
      <w:r>
        <w:rPr>
          <w:rFonts w:hint="eastAsia"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)</w:t>
      </w:r>
      <w:r>
        <w:rPr>
          <w:rFonts w:hint="eastAsia"/>
          <w:sz w:val="24"/>
          <w:lang w:eastAsia="zh-CN"/>
        </w:rPr>
        <w:t>相乘形成</w:t>
      </w:r>
      <w:r>
        <w:rPr>
          <w:rFonts w:hint="eastAsia"/>
          <w:sz w:val="24"/>
          <w:lang w:val="en-US" w:eastAsia="zh-CN"/>
        </w:rPr>
        <w:t>动</w:t>
      </w:r>
      <w:r>
        <w:rPr>
          <w:rFonts w:hint="eastAsia"/>
          <w:sz w:val="24"/>
          <w:lang w:eastAsia="zh-CN"/>
        </w:rPr>
        <w:t>荷载函数</w:t>
      </w:r>
      <w:r>
        <w:rPr>
          <w:rFonts w:hint="eastAsia"/>
          <w:b/>
          <w:bCs/>
          <w:i/>
          <w:iCs/>
          <w:sz w:val="24"/>
          <w:lang w:val="en-US" w:eastAsia="zh-CN"/>
        </w:rPr>
        <w:t>P</w:t>
      </w:r>
      <w:r>
        <w:rPr>
          <w:rFonts w:hint="eastAsia"/>
          <w:sz w:val="24"/>
          <w:lang w:val="en-US" w:eastAsia="zh-CN"/>
        </w:rPr>
        <w:t>(</w:t>
      </w:r>
      <w:r>
        <w:rPr>
          <w:rFonts w:hint="eastAsia"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)=</w:t>
      </w:r>
      <w:r>
        <w:rPr>
          <w:rFonts w:hint="eastAsia"/>
          <w:b/>
          <w:bCs/>
          <w:i/>
          <w:iCs/>
          <w:sz w:val="24"/>
          <w:lang w:val="en-US" w:eastAsia="zh-CN"/>
        </w:rPr>
        <w:t>F</w:t>
      </w:r>
      <w:r>
        <w:rPr>
          <w:rFonts w:hint="eastAsia"/>
          <w:sz w:val="24"/>
          <w:lang w:val="en-US" w:eastAsia="zh-CN"/>
        </w:rPr>
        <w:t>*</w:t>
      </w:r>
      <w:r>
        <w:rPr>
          <w:rFonts w:hint="eastAsia"/>
          <w:b/>
          <w:bCs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(</w:t>
      </w:r>
      <w:r>
        <w:rPr>
          <w:rFonts w:hint="eastAsia"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)，多点作用荷载目前仅允许</w:t>
      </w:r>
      <w:r>
        <w:rPr>
          <w:rFonts w:hint="eastAsia"/>
          <w:b/>
          <w:bCs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(</w:t>
      </w:r>
      <w:r>
        <w:rPr>
          <w:rFonts w:hint="eastAsia"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)同步变化</w:t>
      </w:r>
      <w:r>
        <w:rPr>
          <w:rFonts w:hint="eastAsia"/>
          <w:sz w:val="24"/>
          <w:lang w:eastAsia="zh-CN"/>
        </w:rPr>
        <w:t>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b/>
          <w:bCs/>
          <w:color w:val="0000FF"/>
          <w:sz w:val="24"/>
          <w:lang w:val="en-US" w:eastAsia="zh-CN"/>
        </w:rPr>
      </w:pPr>
      <w:r>
        <w:rPr>
          <w:rFonts w:hint="eastAsia"/>
          <w:b/>
          <w:bCs/>
          <w:color w:val="0000FF"/>
          <w:sz w:val="24"/>
          <w:lang w:val="en-US" w:eastAsia="zh-CN"/>
        </w:rPr>
        <w:t>时程函数选定后，系统给出当前计算时长建议值。用户可在文本框中修改计算时长。如果进入多工况分析，后续工况计算时长，默认与第一工况分析时长同，不能修改。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eastAsia="zh-CN"/>
        </w:rPr>
        <w:t>系统提供</w:t>
      </w:r>
      <w:r>
        <w:rPr>
          <w:rFonts w:hint="eastAsia"/>
          <w:sz w:val="24"/>
          <w:lang w:val="en-US" w:eastAsia="zh-CN"/>
        </w:rPr>
        <w:t>四</w:t>
      </w:r>
      <w:r>
        <w:rPr>
          <w:rFonts w:hint="eastAsia"/>
          <w:sz w:val="24"/>
          <w:lang w:eastAsia="zh-CN"/>
        </w:rPr>
        <w:t>类</w:t>
      </w:r>
      <w:r>
        <w:rPr>
          <w:rFonts w:hint="eastAsia"/>
          <w:sz w:val="24"/>
          <w:lang w:val="en-US" w:eastAsia="zh-CN"/>
        </w:rPr>
        <w:t>时程</w:t>
      </w:r>
      <w:r>
        <w:rPr>
          <w:rFonts w:hint="eastAsia"/>
          <w:sz w:val="24"/>
          <w:lang w:eastAsia="zh-CN"/>
        </w:rPr>
        <w:t>函数关系</w:t>
      </w:r>
      <w:r>
        <w:rPr>
          <w:rFonts w:hint="eastAsia"/>
          <w:b/>
          <w:bCs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(</w:t>
      </w:r>
      <w:r>
        <w:rPr>
          <w:rFonts w:hint="eastAsia"/>
          <w:i/>
          <w:iCs/>
          <w:sz w:val="24"/>
          <w:lang w:val="en-US" w:eastAsia="zh-CN"/>
        </w:rPr>
        <w:t>t</w:t>
      </w:r>
      <w:r>
        <w:rPr>
          <w:rFonts w:hint="eastAsia"/>
          <w:sz w:val="24"/>
          <w:lang w:val="en-US" w:eastAsia="zh-CN"/>
        </w:rPr>
        <w:t>)</w:t>
      </w:r>
      <w:r>
        <w:rPr>
          <w:rFonts w:hint="eastAsia"/>
          <w:sz w:val="24"/>
          <w:lang w:eastAsia="zh-CN"/>
        </w:rPr>
        <w:t>。</w:t>
      </w:r>
    </w:p>
    <w:p>
      <w:pPr>
        <w:numPr>
          <w:ilvl w:val="0"/>
          <w:numId w:val="18"/>
        </w:num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24"/>
          <w:lang w:eastAsia="zh-CN"/>
        </w:rPr>
        <w:t>简谐函数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需</w:t>
      </w:r>
      <w:r>
        <w:rPr>
          <w:rFonts w:hint="eastAsia"/>
          <w:sz w:val="24"/>
          <w:lang w:eastAsia="zh-CN"/>
        </w:rPr>
        <w:t>输入</w:t>
      </w:r>
      <w:r>
        <w:rPr>
          <w:rFonts w:hint="eastAsia"/>
          <w:sz w:val="24"/>
          <w:lang w:val="en-US" w:eastAsia="zh-CN"/>
        </w:rPr>
        <w:t>激励荷载的</w:t>
      </w:r>
      <w:r>
        <w:rPr>
          <w:rFonts w:hint="default" w:ascii="Symbol" w:hAnsi="Symbol" w:cs="Symbol"/>
          <w:i/>
          <w:iCs/>
          <w:sz w:val="24"/>
          <w:lang w:val="en-US" w:eastAsia="zh-CN"/>
        </w:rPr>
        <w:t>q</w:t>
      </w:r>
      <w:r>
        <w:rPr>
          <w:rFonts w:hint="eastAsia" w:ascii="Symbol" w:hAnsi="Symbol" w:cs="Symbol"/>
          <w:i/>
          <w:iCs/>
          <w:sz w:val="24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t>和</w:t>
      </w:r>
      <w:r>
        <w:rPr>
          <w:rFonts w:hint="default" w:ascii="Symbol" w:hAnsi="Symbol" w:cs="Symbol"/>
          <w:i/>
          <w:iCs/>
          <w:sz w:val="24"/>
          <w:lang w:val="en-US" w:eastAsia="zh-CN"/>
        </w:rPr>
        <w:t>a</w:t>
      </w:r>
      <w:r>
        <w:rPr>
          <w:rFonts w:hint="eastAsia"/>
          <w:sz w:val="24"/>
          <w:lang w:val="en-US" w:eastAsia="zh-CN"/>
        </w:rPr>
        <w:t>；界面显示前3阶频率，可通过调整</w:t>
      </w:r>
      <w:r>
        <w:rPr>
          <w:rFonts w:hint="default" w:ascii="Symbol" w:hAnsi="Symbol" w:cs="Symbol"/>
          <w:i/>
          <w:iCs/>
          <w:sz w:val="24"/>
          <w:lang w:val="en-US" w:eastAsia="zh-CN"/>
        </w:rPr>
        <w:t>q</w:t>
      </w:r>
      <w:r>
        <w:rPr>
          <w:rFonts w:hint="eastAsia" w:ascii="Symbol" w:hAnsi="Symbol" w:cs="Symbol"/>
          <w:i/>
          <w:iCs/>
          <w:sz w:val="24"/>
          <w:lang w:val="en-US" w:eastAsia="zh-CN"/>
        </w:rPr>
        <w:t xml:space="preserve"> </w:t>
      </w:r>
      <w:r>
        <w:rPr>
          <w:rFonts w:hint="eastAsia"/>
          <w:sz w:val="24"/>
          <w:lang w:val="en-US" w:eastAsia="zh-CN"/>
        </w:rPr>
        <w:t>值，以观察超低扰频、超高扰频、共振等不同响应效果。</w:t>
      </w:r>
    </w:p>
    <w:p>
      <w:pPr>
        <w:numPr>
          <w:ilvl w:val="0"/>
          <w:numId w:val="18"/>
        </w:numPr>
        <w:adjustRightInd w:val="0"/>
        <w:snapToGrid w:val="0"/>
        <w:spacing w:line="360" w:lineRule="auto"/>
        <w:ind w:left="-17" w:firstLine="42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多项式函数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需要拟合简单函数时，可使用三次多项式函数；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 w:firstLine="1075" w:firstLineChars="448"/>
        <w:rPr>
          <w:rFonts w:hint="default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position w:val="-10"/>
          <w:sz w:val="24"/>
          <w:lang w:val="en-US" w:eastAsia="zh-CN"/>
        </w:rPr>
        <w:object>
          <v:shape id="_x0000_i1040" o:spt="75" type="#_x0000_t75" style="height:18pt;width:128pt;" o:ole="t" filled="f" o:preferrelative="t" stroked="f" coordsize="21600,21600">
            <v:path/>
            <v:fill on="f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125">
            <o:LockedField>false</o:LockedField>
          </o:OLEObject>
        </w:objec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应输入系数</w:t>
      </w:r>
      <w:r>
        <w:rPr>
          <w:rFonts w:hint="eastAsia"/>
          <w:b w:val="0"/>
          <w:bCs w:val="0"/>
          <w:i/>
          <w:iCs/>
          <w:sz w:val="24"/>
          <w:lang w:val="en-US" w:eastAsia="zh-CN"/>
        </w:rPr>
        <w:t>A</w:t>
      </w:r>
      <w:r>
        <w:rPr>
          <w:rFonts w:hint="eastAsia"/>
          <w:b w:val="0"/>
          <w:bCs w:val="0"/>
          <w:sz w:val="24"/>
          <w:lang w:val="en-US" w:eastAsia="zh-CN"/>
        </w:rPr>
        <w:t>、</w:t>
      </w:r>
      <w:r>
        <w:rPr>
          <w:rFonts w:hint="eastAsia"/>
          <w:b w:val="0"/>
          <w:bCs w:val="0"/>
          <w:i/>
          <w:iCs/>
          <w:sz w:val="24"/>
          <w:lang w:val="en-US" w:eastAsia="zh-CN"/>
        </w:rPr>
        <w:t>B</w:t>
      </w:r>
      <w:r>
        <w:rPr>
          <w:rFonts w:hint="eastAsia"/>
          <w:b w:val="0"/>
          <w:bCs w:val="0"/>
          <w:sz w:val="24"/>
          <w:lang w:val="en-US" w:eastAsia="zh-CN"/>
        </w:rPr>
        <w:t>、</w:t>
      </w:r>
      <w:r>
        <w:rPr>
          <w:rFonts w:hint="eastAsia"/>
          <w:b w:val="0"/>
          <w:bCs w:val="0"/>
          <w:i/>
          <w:iCs/>
          <w:sz w:val="24"/>
          <w:lang w:val="en-US" w:eastAsia="zh-CN"/>
        </w:rPr>
        <w:t>C</w:t>
      </w:r>
      <w:r>
        <w:rPr>
          <w:rFonts w:hint="eastAsia"/>
          <w:b w:val="0"/>
          <w:bCs w:val="0"/>
          <w:sz w:val="24"/>
          <w:lang w:val="en-US" w:eastAsia="zh-CN"/>
        </w:rPr>
        <w:t>、</w:t>
      </w:r>
      <w:r>
        <w:rPr>
          <w:rFonts w:hint="eastAsia"/>
          <w:b w:val="0"/>
          <w:bCs w:val="0"/>
          <w:i/>
          <w:iCs/>
          <w:sz w:val="24"/>
          <w:lang w:val="en-US" w:eastAsia="zh-CN"/>
        </w:rPr>
        <w:t>D</w:t>
      </w:r>
    </w:p>
    <w:p>
      <w:pPr>
        <w:numPr>
          <w:ilvl w:val="0"/>
          <w:numId w:val="18"/>
        </w:numPr>
        <w:adjustRightInd w:val="0"/>
        <w:snapToGrid w:val="0"/>
        <w:spacing w:line="360" w:lineRule="auto"/>
        <w:ind w:left="-17" w:firstLine="42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线性函数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包括</w:t>
      </w:r>
      <w:r>
        <w:rPr>
          <w:rFonts w:hint="eastAsia"/>
          <w:b/>
          <w:bCs/>
          <w:color w:val="0000FF"/>
          <w:sz w:val="24"/>
          <w:lang w:val="en-US" w:eastAsia="zh-CN"/>
        </w:rPr>
        <w:t>突加长期</w:t>
      </w:r>
      <w:r>
        <w:rPr>
          <w:rFonts w:hint="eastAsia"/>
          <w:b w:val="0"/>
          <w:bCs w:val="0"/>
          <w:sz w:val="24"/>
          <w:lang w:val="en-US" w:eastAsia="zh-CN"/>
        </w:rPr>
        <w:t>、</w:t>
      </w:r>
      <w:r>
        <w:rPr>
          <w:rFonts w:hint="eastAsia"/>
          <w:b/>
          <w:bCs/>
          <w:color w:val="0000FF"/>
          <w:sz w:val="24"/>
          <w:lang w:val="en-US" w:eastAsia="zh-CN"/>
        </w:rPr>
        <w:t>突加短期</w:t>
      </w:r>
      <w:r>
        <w:rPr>
          <w:rFonts w:hint="eastAsia"/>
          <w:b w:val="0"/>
          <w:bCs w:val="0"/>
          <w:sz w:val="24"/>
          <w:lang w:val="en-US" w:eastAsia="zh-CN"/>
        </w:rPr>
        <w:t>、</w:t>
      </w:r>
      <w:r>
        <w:rPr>
          <w:rFonts w:hint="eastAsia"/>
          <w:b/>
          <w:bCs/>
          <w:color w:val="0000FF"/>
          <w:sz w:val="24"/>
          <w:lang w:val="en-US" w:eastAsia="zh-CN"/>
        </w:rPr>
        <w:t>线性渐增荷载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default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用户可利用调整加载时间，实现</w:t>
      </w:r>
      <w:r>
        <w:rPr>
          <w:rFonts w:hint="eastAsia"/>
          <w:b/>
          <w:bCs/>
          <w:sz w:val="24"/>
          <w:lang w:val="en-US" w:eastAsia="zh-CN"/>
        </w:rPr>
        <w:t>拟静载</w:t>
      </w:r>
      <w:r>
        <w:rPr>
          <w:rFonts w:hint="eastAsia"/>
          <w:b w:val="0"/>
          <w:bCs w:val="0"/>
          <w:sz w:val="24"/>
          <w:lang w:val="en-US" w:eastAsia="zh-CN"/>
        </w:rPr>
        <w:t>效应或</w:t>
      </w:r>
      <w:r>
        <w:rPr>
          <w:rFonts w:hint="eastAsia"/>
          <w:b/>
          <w:bCs/>
          <w:sz w:val="24"/>
          <w:lang w:val="en-US" w:eastAsia="zh-CN"/>
        </w:rPr>
        <w:t>冲击</w:t>
      </w:r>
      <w:r>
        <w:rPr>
          <w:rFonts w:hint="eastAsia"/>
          <w:b w:val="0"/>
          <w:bCs w:val="0"/>
          <w:sz w:val="24"/>
          <w:lang w:val="en-US" w:eastAsia="zh-CN"/>
        </w:rPr>
        <w:t>效应</w:t>
      </w:r>
      <w:r>
        <w:rPr>
          <w:rFonts w:hint="eastAsia"/>
          <w:sz w:val="24"/>
          <w:lang w:val="en-US" w:eastAsia="zh-CN"/>
        </w:rPr>
        <w:t>，界面只显示最多前3阶周期，若需要使用高阶周期，可利用自由振动下显示各阶频率值的计算值。</w:t>
      </w:r>
    </w:p>
    <w:p>
      <w:pPr>
        <w:numPr>
          <w:ilvl w:val="0"/>
          <w:numId w:val="18"/>
        </w:numPr>
        <w:adjustRightInd w:val="0"/>
        <w:snapToGrid w:val="0"/>
        <w:spacing w:line="360" w:lineRule="auto"/>
        <w:ind w:left="-17" w:firstLine="420"/>
        <w:rPr>
          <w:rFonts w:hint="default"/>
          <w:b/>
          <w:bCs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116840</wp:posOffset>
                </wp:positionV>
                <wp:extent cx="553720" cy="1417320"/>
                <wp:effectExtent l="0" t="0" r="17780" b="1143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83015" y="5093970"/>
                          <a:ext cx="55372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472C4" w:themeColor="accent5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472C4" w:themeColor="accent5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地震波数据文件格式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pt;margin-top:9.2pt;height:111.6pt;width:43.6pt;z-index:251671552;mso-width-relative:page;mso-height-relative:page;" fillcolor="#FFFFFF [3201]" filled="t" stroked="f" coordsize="21600,21600" o:gfxdata="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ioZbA2AAAAAoBAAAPAAAAAAAAAAEAIAAAACIAAABkcnMvZG93bnJldi54bWxQSwECFAAUAAAA&#10;CACHTuJACMqeYGACAAChBAAADgAAAAAAAAABACAAAAAn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4472C4" w:themeColor="accent5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4472C4" w:themeColor="accent5"/>
                          <w:sz w:val="22"/>
                          <w:szCs w:val="28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  <w:t>地震波数据文件格式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58420</wp:posOffset>
            </wp:positionV>
            <wp:extent cx="1457325" cy="1528445"/>
            <wp:effectExtent l="28575" t="28575" r="38100" b="43180"/>
            <wp:wrapSquare wrapText="bothSides"/>
            <wp:docPr id="9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9"/>
                    <pic:cNvPicPr>
                      <a:picLocks noChangeAspect="1"/>
                    </pic:cNvPicPr>
                  </pic:nvPicPr>
                  <pic:blipFill>
                    <a:blip r:embed="rId127"/>
                    <a:srcRect t="24664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2844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lang w:val="en-US" w:eastAsia="zh-CN"/>
        </w:rPr>
        <w:t>地震作用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地震波数据应以纯文本数据在分析前保存于计算机内。数据格式为每行一个数值直到结束。地震波数据系统未提供，用户需要自备。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b/>
          <w:bCs/>
          <w:color w:val="0000FF"/>
          <w:sz w:val="24"/>
          <w:lang w:val="en-US" w:eastAsia="zh-CN"/>
        </w:rPr>
        <w:t>地震力</w:t>
      </w:r>
      <w:r>
        <w:rPr>
          <w:rFonts w:hint="eastAsia"/>
          <w:sz w:val="24"/>
          <w:lang w:val="en-US" w:eastAsia="zh-CN"/>
        </w:rPr>
        <w:t>：</w:t>
      </w:r>
      <w:r>
        <w:rPr>
          <w:rFonts w:hint="eastAsia"/>
          <w:position w:val="-14"/>
          <w:sz w:val="24"/>
          <w:lang w:val="en-US" w:eastAsia="zh-CN"/>
        </w:rPr>
        <w:object>
          <v:shape id="_x0000_i1041" o:spt="75" type="#_x0000_t75" style="height:19pt;width:31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128">
            <o:LockedField>false</o:LockedField>
          </o:OLEObject>
        </w:object>
      </w:r>
      <w:r>
        <w:rPr>
          <w:rFonts w:hint="eastAsia"/>
          <w:sz w:val="24"/>
          <w:lang w:val="en-US" w:eastAsia="zh-CN"/>
        </w:rPr>
        <w:t>，可指定于水平向或竖向作用，地震作用模式下其它动荷载不起作用。由于目前没有作用动荷载，不能进入强迫振动界面，用户仅观察地震作用时，也需要给结构施加一个任意外荷载。</w:t>
      </w: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不同于前三类函数的幅值系数模式，地震波时程函数需与质量共同构造等效力，因此地震波函数无法直接比较与其它类型时程函数的幅值大小（实际的结构分析中，地震作用与直接激励动荷载几乎没有可比较的意义），地震波时程曲线，系统仅绘制其变化规律，幅值均为示意。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【说明】地震波分析时，结构响应不仅与结构动力特征相关，还较大程度受地震波特征影响。由于随机荷载特征无法直接寻找规律，本功能目前用于地震作用分析中动力效应介绍性的简单引入，而进一步认识地震效应，建议在《地震工程学》《高层结构分析》等后续专业课学习时，结合结构工程抗震理论使用。</w:t>
      </w:r>
    </w:p>
    <w:p>
      <w:pPr>
        <w:numPr>
          <w:ilvl w:val="0"/>
          <w:numId w:val="17"/>
        </w:numPr>
        <w:adjustRightInd w:val="0"/>
        <w:snapToGrid w:val="0"/>
        <w:spacing w:line="360" w:lineRule="auto"/>
        <w:ind w:left="0" w:leftChars="0"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分析方法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分析方法提供两类选择：</w:t>
      </w:r>
      <w:r>
        <w:rPr>
          <w:rFonts w:hint="eastAsia"/>
          <w:b/>
          <w:bCs/>
          <w:color w:val="0000FF"/>
          <w:sz w:val="24"/>
          <w:lang w:val="en-US" w:eastAsia="zh-CN"/>
        </w:rPr>
        <w:t>振型分解法</w:t>
      </w:r>
      <w:r>
        <w:rPr>
          <w:rFonts w:hint="eastAsia"/>
          <w:sz w:val="24"/>
          <w:lang w:val="en-US" w:eastAsia="zh-CN"/>
        </w:rPr>
        <w:t>和</w:t>
      </w:r>
      <w:r>
        <w:rPr>
          <w:rFonts w:hint="eastAsia"/>
          <w:b/>
          <w:bCs/>
          <w:color w:val="0000FF"/>
          <w:sz w:val="24"/>
          <w:lang w:val="en-US" w:eastAsia="zh-CN"/>
        </w:rPr>
        <w:t>直接积分法</w:t>
      </w:r>
      <w:r>
        <w:rPr>
          <w:rFonts w:hint="eastAsia"/>
          <w:sz w:val="24"/>
          <w:lang w:val="en-US" w:eastAsia="zh-CN"/>
        </w:rPr>
        <w:t>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default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直接积分法待优化后再开放上线。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振型分解法中，用户可选择需要叠加的连续振型（</w:t>
      </w:r>
      <w:r>
        <w:rPr>
          <w:rFonts w:hint="eastAsia"/>
          <w:i/>
          <w:iCs/>
          <w:sz w:val="24"/>
          <w:lang w:val="en-US" w:eastAsia="zh-CN"/>
        </w:rPr>
        <w:t>i~j</w:t>
      </w:r>
      <w:r>
        <w:rPr>
          <w:rFonts w:hint="eastAsia"/>
          <w:sz w:val="24"/>
          <w:lang w:val="en-US" w:eastAsia="zh-CN"/>
        </w:rPr>
        <w:t>）或单一振型（</w:t>
      </w:r>
      <w:r>
        <w:rPr>
          <w:rFonts w:hint="eastAsia"/>
          <w:i/>
          <w:iCs/>
          <w:sz w:val="24"/>
          <w:lang w:val="en-US" w:eastAsia="zh-CN"/>
        </w:rPr>
        <w:t>i~i</w:t>
      </w:r>
      <w:r>
        <w:rPr>
          <w:rFonts w:hint="eastAsia"/>
          <w:sz w:val="24"/>
          <w:lang w:val="en-US" w:eastAsia="zh-CN"/>
        </w:rPr>
        <w:t>）作为当前显示输出。在振型叠加时，变形图及位移响应函数，均为显示当前选择的“所需叠加的振型”（默认为所有振型），从</w:t>
      </w:r>
      <w:r>
        <w:rPr>
          <w:rFonts w:hint="eastAsia"/>
          <w:i/>
          <w:iCs/>
          <w:sz w:val="24"/>
          <w:lang w:val="en-US" w:eastAsia="zh-CN"/>
        </w:rPr>
        <w:t>n</w:t>
      </w:r>
      <w:r>
        <w:rPr>
          <w:rFonts w:hint="eastAsia"/>
          <w:sz w:val="24"/>
          <w:lang w:val="en-US" w:eastAsia="zh-CN"/>
        </w:rPr>
        <w:t>1~</w:t>
      </w:r>
      <w:r>
        <w:rPr>
          <w:rFonts w:hint="eastAsia"/>
          <w:i/>
          <w:iCs/>
          <w:sz w:val="24"/>
          <w:lang w:val="en-US" w:eastAsia="zh-CN"/>
        </w:rPr>
        <w:t>n</w:t>
      </w:r>
      <w:r>
        <w:rPr>
          <w:rFonts w:hint="eastAsia"/>
          <w:sz w:val="24"/>
          <w:lang w:val="en-US" w:eastAsia="zh-CN"/>
        </w:rPr>
        <w:t>2。</w:t>
      </w:r>
    </w:p>
    <w:p>
      <w:pPr>
        <w:numPr>
          <w:ilvl w:val="0"/>
          <w:numId w:val="17"/>
        </w:numPr>
        <w:adjustRightInd w:val="0"/>
        <w:snapToGrid w:val="0"/>
        <w:spacing w:line="360" w:lineRule="auto"/>
        <w:ind w:left="0" w:leftChars="0"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阻尼比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系统支持小阻尼和无阻尼分析。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对</w:t>
      </w:r>
      <w:r>
        <w:rPr>
          <w:rFonts w:hint="default" w:ascii="Symbol" w:hAnsi="Symbol" w:cs="Symbol"/>
          <w:b/>
          <w:bCs/>
          <w:i/>
          <w:iCs/>
          <w:sz w:val="24"/>
          <w:lang w:val="en-US" w:eastAsia="zh-CN"/>
        </w:rPr>
        <w:t>x</w:t>
      </w:r>
      <w:r>
        <w:rPr>
          <w:rFonts w:hint="eastAsia" w:ascii="Symbol" w:hAnsi="Symbol" w:cs="Symbol"/>
          <w:b/>
          <w:bCs/>
          <w:i/>
          <w:iCs/>
          <w:sz w:val="24"/>
          <w:lang w:val="en-US" w:eastAsia="zh-CN"/>
        </w:rPr>
        <w:t xml:space="preserve"> </w:t>
      </w:r>
      <w:r>
        <w:rPr>
          <w:rFonts w:hint="eastAsia" w:ascii="Symbol" w:hAnsi="Symbol" w:cs="Symbol"/>
          <w:b/>
          <w:bCs/>
          <w:i w:val="0"/>
          <w:iCs w:val="0"/>
          <w:sz w:val="24"/>
          <w:lang w:val="en-US" w:eastAsia="zh-CN"/>
        </w:rPr>
        <w:t>（阻尼比）</w:t>
      </w:r>
      <w:r>
        <w:rPr>
          <w:rFonts w:hint="eastAsia"/>
          <w:sz w:val="24"/>
          <w:lang w:val="en-US" w:eastAsia="zh-CN"/>
        </w:rPr>
        <w:t>输入值</w:t>
      </w:r>
      <w:r>
        <w:rPr>
          <w:rFonts w:hint="eastAsia"/>
          <w:b/>
          <w:bCs/>
          <w:color w:val="0000FF"/>
          <w:sz w:val="24"/>
          <w:lang w:val="en-US" w:eastAsia="zh-CN"/>
        </w:rPr>
        <w:t>应大于等于0，且小于1</w:t>
      </w:r>
      <w:r>
        <w:rPr>
          <w:rFonts w:hint="eastAsia"/>
          <w:sz w:val="24"/>
          <w:lang w:val="en-US" w:eastAsia="zh-CN"/>
        </w:rPr>
        <w:t>。</w:t>
      </w:r>
    </w:p>
    <w:p>
      <w:pPr>
        <w:numPr>
          <w:ilvl w:val="0"/>
          <w:numId w:val="17"/>
        </w:numPr>
        <w:adjustRightInd w:val="0"/>
        <w:snapToGrid w:val="0"/>
        <w:spacing w:line="360" w:lineRule="auto"/>
        <w:ind w:left="0" w:leftChars="0" w:firstLine="482" w:firstLineChars="20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位移响应显示</w:t>
      </w:r>
    </w:p>
    <w:p>
      <w:p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绘制说明：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绘图是按采样点进行的曲线拟合，拟合曲线并非计算所得的绝对真实函数曲线，二者必然存在误差。如在较长时长的时程曲线上，有高频干扰力（包括地震波）或结构为超高频的情况下，绘图精度会下降。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鼠标移动至左侧模型图上，以选择需要绘图的结点；自由度下拉框可选择需要绘图的自由度：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color w:val="5B9BD5" w:themeColor="accent1"/>
          <w:sz w:val="24"/>
          <w:lang w:val="en-US" w:eastAsia="zh-CN"/>
          <w14:textFill>
            <w14:solidFill>
              <w14:schemeClr w14:val="accent1"/>
            </w14:solidFill>
          </w14:textFill>
        </w:rPr>
        <w:t>水平位移=1，竖向位移=2，转角位移=3</w:t>
      </w:r>
      <w:r>
        <w:rPr>
          <w:rFonts w:hint="eastAsia"/>
          <w:sz w:val="24"/>
          <w:lang w:val="en-US" w:eastAsia="zh-CN"/>
        </w:rPr>
        <w:t>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结点及自由度选择，应在强迫振动分析前完成。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左侧模型图动态响应的幅值，是按荷载幅值的最大静位移值作为参考幅度表达的。若动响应过大或过小于（相较于最大静位移），动态变形图的动态展示效果会下降，（可shift+滚轮调幅，操作效果似乎不很理想，待后续优化）。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强迫振动解析算法，考虑解析解通用性，全程引入</w:t>
      </w:r>
      <w:r>
        <w:rPr>
          <w:rFonts w:hint="eastAsia"/>
          <w:b/>
          <w:bCs/>
          <w:color w:val="0000FF"/>
          <w:sz w:val="24"/>
          <w:lang w:val="en-US" w:eastAsia="zh-CN"/>
        </w:rPr>
        <w:t>伴生自由振动</w:t>
      </w:r>
      <w:r>
        <w:rPr>
          <w:rFonts w:hint="eastAsia"/>
          <w:sz w:val="24"/>
          <w:lang w:val="en-US" w:eastAsia="zh-CN"/>
        </w:rPr>
        <w:t>影响。故某些响应结果，与现行教材中仅考虑平稳阶段响应结果有一定差异。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中部填充粉色区，为当前动荷载幅值静力作用下“静位移”；为便于用户观察动力效应，静位移正负双向对称表示。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-1" w:leftChars="0" w:firstLine="0" w:firstLineChars="0"/>
        <w:jc w:val="center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3250565" cy="1296670"/>
            <wp:effectExtent l="0" t="0" r="6985" b="17780"/>
            <wp:docPr id="1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若全屏粉色，表示动效应非常小；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default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若未见粉色，表示动效应强烈</w:t>
      </w:r>
      <w:r>
        <w:rPr>
          <w:rFonts w:hint="eastAsia"/>
          <w:sz w:val="24"/>
          <w:lang w:val="en-US" w:eastAsia="zh-CN"/>
        </w:rPr>
        <w:t>（静位移仅在坐标轴附近）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地震作用时，不存在静响应，此模式下不绘制。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当前工况分析结束后，鼠标在显示区域范围内，可用滚轮前后滚动，缩放控制显示的时段（只缩放0-起始时段，不缩放响应幅度；需要调幅，可拉大窗体高度）。</w:t>
      </w:r>
    </w:p>
    <w:p>
      <w:pPr>
        <w:numPr>
          <w:ilvl w:val="0"/>
          <w:numId w:val="19"/>
        </w:num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时程进行中，可用CTRL+滚轮，改变当前正在分析的那条响应曲线的粗细，以更明显区分和历史时程响应间的差别。线粗变化后，仍适用于后续时程结果当前响应绘制。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403" w:leftChars="0"/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3416300" cy="1406525"/>
            <wp:effectExtent l="0" t="0" r="12700" b="3175"/>
            <wp:docPr id="1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9"/>
                    <pic:cNvPicPr>
                      <a:picLocks noChangeAspect="1"/>
                    </pic:cNvPicPr>
                  </pic:nvPicPr>
                  <pic:blipFill>
                    <a:blip r:embed="rId131"/>
                    <a:srcRect l="43210" t="16964" r="38499" b="56265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adjustRightInd w:val="0"/>
        <w:snapToGrid w:val="0"/>
        <w:spacing w:line="360" w:lineRule="auto"/>
        <w:ind w:left="0" w:leftChars="0" w:firstLine="482" w:firstLineChars="20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多工况显示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多工况显示时，应在每一工况均完全显示后，点击保存当前状态，才可以配合后续其它工况同步显示。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系统给出运动中自由度响应数值的大小极值，此极值线（水平绿色虚线）为当前工况，其它历史工况不作表示。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历史工况数目不超过9条，从图显效果上，最好以2~3条比较即可，再多效果就不明显了。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3" w:leftChars="0" w:firstLine="398" w:firstLineChars="166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多数据比对也可利用数据导出功能，使用XML格式数据导出后，在WPS或EXCEL中自行分析。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eastAsia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both"/>
        <w:rPr>
          <w:rFonts w:hint="default"/>
          <w:sz w:val="24"/>
          <w:lang w:val="en-US" w:eastAsia="zh-CN"/>
        </w:rPr>
        <w:sectPr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300" w:space="1260"/>
            <w:col w:w="6397"/>
          </w:cols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8" w:leftChars="0" w:firstLine="8" w:firstLineChars="0"/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空间杆系结构动力演示</w:t>
      </w:r>
    </w:p>
    <w:p>
      <w:pPr>
        <w:adjustRightInd w:val="0"/>
        <w:snapToGrid w:val="0"/>
        <w:spacing w:line="360" w:lineRule="auto"/>
        <w:ind w:left="-8" w:leftChars="0" w:firstLine="8" w:firstLineChars="0"/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【说明】分析限制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系统未设定分析规模，因操作系统、算法（满阵存贮、全规模分析）和内存，自由度受限。本机调试时（64位win10+16G），结点数受限为800+。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default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按国际单位制：米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·</w:t>
      </w:r>
      <w:r>
        <w:rPr>
          <w:rFonts w:hint="eastAsia"/>
          <w:b/>
          <w:bCs/>
          <w:color w:val="FF0000"/>
          <w:sz w:val="24"/>
          <w:lang w:val="en-US" w:eastAsia="zh-CN"/>
        </w:rPr>
        <w:t>牛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·</w:t>
      </w:r>
      <w:r>
        <w:rPr>
          <w:rFonts w:hint="eastAsia"/>
          <w:b/>
          <w:bCs/>
          <w:color w:val="FF0000"/>
          <w:sz w:val="24"/>
          <w:lang w:val="en-US" w:eastAsia="zh-CN"/>
        </w:rPr>
        <w:t>公斤。空间结构要求相对严格，过于偏离现实时，很难实现分析目的，系统不再如平面体系一般适用相对刚度或符号替换进行计算。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规则框架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空间杆系结构，建模相对复杂，为实现秒速建模，系统提供规则框架模型快速构建。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用户输入层数、平面内双向跨数后，可形成模型。底层结点全固端。层高、跨度（X向）、进深（Y向），可在数据框内进一步修正。此时的梁柱截面参数等为统一设定。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框架柱局部坐标系统约定：x为轴向，y为指向整体坐标系统的X，z为指定整体坐标系统的X向。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框架梁局部坐标系统约定：x为轴向，y位于XY平面内，z指向Y向。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trike/>
          <w:dstrike w:val="0"/>
          <w:sz w:val="24"/>
          <w:lang w:val="en-US" w:eastAsia="zh-CN"/>
        </w:rPr>
      </w:pPr>
      <w:r>
        <w:rPr>
          <w:rFonts w:hint="eastAsia"/>
          <w:strike/>
          <w:dstrike w:val="0"/>
          <w:sz w:val="24"/>
          <w:lang w:val="en-US" w:eastAsia="zh-CN"/>
        </w:rPr>
        <w:t>可在后续“模型修改”中，修正特别单元参数。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截面参数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trike w:val="0"/>
          <w:dstrike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下面形式参数中，A、D、I、P、R为截面类型，冒号后为截面参数，各</w:t>
      </w:r>
      <w:r>
        <w:rPr>
          <w:rFonts w:hint="eastAsia"/>
          <w:strike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参数</w:t>
      </w:r>
      <w:r>
        <w:rPr>
          <w:rFonts w:hint="eastAsia"/>
          <w:sz w:val="24"/>
          <w:lang w:val="en-US" w:eastAsia="zh-CN"/>
        </w:rPr>
        <w:t>间以‘*’字符分隔。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截面参数中，“宽”为截面坐标-y向；“高”为截面坐标-z向。参数###只能输入数值（单位米）。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各类型截面的参数说明：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A：###*###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03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矩形截面，“宽”*“高”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D：###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D为圆形截面，</w:t>
      </w:r>
      <w:r>
        <w:rPr>
          <w:rFonts w:hint="eastAsia"/>
          <w:color w:val="0000FF"/>
          <w:sz w:val="24"/>
          <w:lang w:val="en-US" w:eastAsia="zh-CN"/>
        </w:rPr>
        <w:t>“</w:t>
      </w:r>
      <w:r>
        <w:rPr>
          <w:rFonts w:hint="eastAsia"/>
          <w:sz w:val="24"/>
          <w:lang w:val="en-US" w:eastAsia="zh-CN"/>
        </w:rPr>
        <w:t>直径”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I：###*###*###*###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工形截面，“宽”*“高”*“腹板厚”*“翼缘厚”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R：###*###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圆管截面，“外直径”*“壁厚”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P：###*###*###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矩管截面，“宽”*“高”*“壁厚”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T：</w:t>
      </w: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###*###*###*###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T形截面，“宽”*“高”*“腹板厚”*“翼缘厚”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L：</w:t>
      </w: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###*###*###*###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角钢截面，“宽”*“高”*“腹板厚”*“翼缘厚”</w:t>
      </w:r>
    </w:p>
    <w:p>
      <w:pPr>
        <w:widowControl w:val="0"/>
        <w:numPr>
          <w:ilvl w:val="0"/>
          <w:numId w:val="20"/>
        </w:numPr>
        <w:adjustRightInd w:val="0"/>
        <w:snapToGrid w:val="0"/>
        <w:spacing w:line="360" w:lineRule="auto"/>
        <w:ind w:left="-17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C：</w:t>
      </w:r>
      <w:r>
        <w:rPr>
          <w:rFonts w:hint="eastAsia" w:ascii="微软雅黑" w:hAnsi="微软雅黑" w:eastAsia="微软雅黑" w:cs="微软雅黑"/>
          <w:b/>
          <w:bCs/>
          <w:color w:val="002060"/>
          <w:sz w:val="24"/>
          <w:lang w:val="en-US" w:eastAsia="zh-CN"/>
        </w:rPr>
        <w:t>###*###*###*###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槽钢截面，“宽”*“高”*“腹板厚”*“翼缘厚”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420" w:leftChars="0" w:firstLine="420" w:firstLineChars="0"/>
        <w:jc w:val="both"/>
        <w:rPr>
          <w:rFonts w:hint="default"/>
          <w:sz w:val="24"/>
          <w:lang w:val="en-US" w:eastAsia="zh-CN"/>
        </w:rPr>
      </w:pP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材料参数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下拉框选择“混凝土”或“钢”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混凝土弹模：E=3.0</w:t>
      </w:r>
      <w:r>
        <w:rPr>
          <w:rFonts w:hint="default" w:ascii="Arial" w:hAnsi="Arial" w:cs="Arial"/>
          <w:sz w:val="24"/>
          <w:lang w:val="en-US" w:eastAsia="zh-CN"/>
        </w:rPr>
        <w:t>×</w:t>
      </w:r>
      <w:r>
        <w:rPr>
          <w:rFonts w:hint="eastAsia"/>
          <w:sz w:val="24"/>
          <w:lang w:val="en-US" w:eastAsia="zh-CN"/>
        </w:rPr>
        <w:t>10</w:t>
      </w:r>
      <w:r>
        <w:rPr>
          <w:rFonts w:hint="eastAsia"/>
          <w:sz w:val="24"/>
          <w:vertAlign w:val="superscript"/>
          <w:lang w:val="en-US" w:eastAsia="zh-CN"/>
        </w:rPr>
        <w:t>4</w:t>
      </w:r>
      <w:r>
        <w:rPr>
          <w:rFonts w:hint="eastAsia"/>
          <w:sz w:val="24"/>
          <w:lang w:val="en-US" w:eastAsia="zh-CN"/>
        </w:rPr>
        <w:t>MPa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钢材弹模：E=2.0</w:t>
      </w:r>
      <w:r>
        <w:rPr>
          <w:rFonts w:hint="default" w:ascii="Arial" w:hAnsi="Arial" w:cs="Arial"/>
          <w:sz w:val="24"/>
          <w:lang w:val="en-US" w:eastAsia="zh-CN"/>
        </w:rPr>
        <w:t>×</w:t>
      </w:r>
      <w:r>
        <w:rPr>
          <w:rFonts w:hint="eastAsia"/>
          <w:sz w:val="24"/>
          <w:lang w:val="en-US" w:eastAsia="zh-CN"/>
        </w:rPr>
        <w:t>10</w:t>
      </w:r>
      <w:r>
        <w:rPr>
          <w:rFonts w:hint="eastAsia"/>
          <w:sz w:val="24"/>
          <w:vertAlign w:val="superscript"/>
          <w:lang w:val="en-US" w:eastAsia="zh-CN"/>
        </w:rPr>
        <w:t>5</w:t>
      </w:r>
      <w:r>
        <w:rPr>
          <w:rFonts w:hint="eastAsia"/>
          <w:sz w:val="24"/>
          <w:lang w:val="en-US" w:eastAsia="zh-CN"/>
        </w:rPr>
        <w:t>MPa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default"/>
          <w:strike/>
          <w:dstrike w:val="0"/>
          <w:sz w:val="24"/>
          <w:lang w:val="en-US" w:eastAsia="zh-CN"/>
        </w:rPr>
      </w:pPr>
      <w:r>
        <w:rPr>
          <w:rFonts w:hint="eastAsia"/>
          <w:strike/>
          <w:dstrike w:val="0"/>
          <w:sz w:val="24"/>
          <w:lang w:val="en-US" w:eastAsia="zh-CN"/>
        </w:rPr>
        <w:t>钢筋混凝土截面待引入。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质量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输入数值为楼面“平均面质量”，单位为（kg/m</w:t>
      </w:r>
      <w:r>
        <w:rPr>
          <w:rFonts w:hint="eastAsia"/>
          <w:sz w:val="24"/>
          <w:vertAlign w:val="superscript"/>
          <w:lang w:val="en-US" w:eastAsia="zh-CN"/>
        </w:rPr>
        <w:t>2</w:t>
      </w:r>
      <w:r>
        <w:rPr>
          <w:rFonts w:hint="eastAsia"/>
          <w:sz w:val="24"/>
          <w:lang w:val="en-US" w:eastAsia="zh-CN"/>
        </w:rPr>
        <w:t>），可按常规工程结构平均自重和规范建议活载参与值估计。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trike/>
          <w:dstrike w:val="0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系统将平均面质量，按规则框架楼面面积，将楼面总质量均分至楼面梁总长，计算出楼面梁等效线密度，用于描述近似的质量分布（柱质量按材料常规密度自动导算）。梁格越少，相对于转动自由度的质量描述误差越大。</w:t>
      </w:r>
      <w:r>
        <w:rPr>
          <w:rFonts w:hint="eastAsia"/>
          <w:strike/>
          <w:dstrike w:val="0"/>
          <w:sz w:val="24"/>
          <w:lang w:val="en-US" w:eastAsia="zh-CN"/>
        </w:rPr>
        <w:t>后期可能使用附加集中质量，或引入壳元解决。</w:t>
      </w:r>
    </w:p>
    <w:p>
      <w:pPr>
        <w:widowControl w:val="0"/>
        <w:numPr>
          <w:ilvl w:val="0"/>
          <w:numId w:val="13"/>
        </w:numPr>
        <w:adjustRightInd w:val="0"/>
        <w:snapToGrid w:val="0"/>
        <w:spacing w:line="360" w:lineRule="auto"/>
        <w:ind w:firstLine="420" w:firstLineChars="0"/>
        <w:jc w:val="both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地震作用分析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模态分析成功后，可进行强迫振动分析。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允许水平地震和竖向地震同时输入，水平地震通过地震波输入角度与结构整体坐标X轴间夹角，反应双向地震效应。竖向地震效应应输入竖向地震加速度幅值与水平幅值的比值。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时点为输出数据的有效控制点，默认值为地震波采样点；分隔点可取为0或其它正整数，为0时，内部计算积分点不作增加。取为其它正整数时，则对时点按（正整数+1）拆分后，作时程分析，但数据仅输出“时点”位置响应值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在模态分析基础上，系统使用振型叠加计算。可控制叠加振型n~m，中间连续叠加。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时程分析使用线性加速度法，结构刚度偏大时，应注意（显示时点/细分）后时间间隔，最好小于</w:t>
      </w:r>
      <w:r>
        <w:rPr>
          <w:rFonts w:hint="eastAsia"/>
          <w:position w:val="-24"/>
          <w:sz w:val="24"/>
          <w:lang w:val="en-US" w:eastAsia="zh-CN"/>
        </w:rPr>
        <w:object>
          <v:shape id="_x0000_i1042" o:spt="75" type="#_x0000_t75" style="height:31pt;width:16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132">
            <o:LockedField>false</o:LockedField>
          </o:OLEObject>
        </w:object>
      </w:r>
      <w:r>
        <w:rPr>
          <w:rFonts w:hint="eastAsia"/>
          <w:sz w:val="24"/>
          <w:lang w:val="en-US" w:eastAsia="zh-CN"/>
        </w:rPr>
        <w:t>和地震波采样点，否则计算容易发散或精度下降。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支持滚轮缩放，Ctrl+滚轮缩放幅度。坐标滑垫控制三维视角。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="0" w:leftChars="0" w:firstLine="420" w:firstLineChars="175"/>
        <w:jc w:val="both"/>
        <w:rPr>
          <w:rFonts w:hint="default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default"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both"/>
        <w:rPr>
          <w:rFonts w:hint="default"/>
          <w:sz w:val="24"/>
          <w:lang w:val="en-US" w:eastAsia="zh-CN"/>
        </w:rPr>
        <w:sectPr>
          <w:headerReference r:id="rId17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300" w:space="1260"/>
            <w:col w:w="6397"/>
          </w:cols>
          <w:docGrid w:type="lines" w:linePitch="312" w:charSpace="0"/>
        </w:sectPr>
      </w:pPr>
    </w:p>
    <w:p>
      <w:pPr>
        <w:adjustRightInd w:val="0"/>
        <w:snapToGrid w:val="0"/>
        <w:spacing w:line="360" w:lineRule="auto"/>
        <w:ind w:left="-17" w:firstLine="420"/>
        <w:rPr>
          <w:rFonts w:hint="default"/>
          <w:sz w:val="24"/>
          <w:lang w:val="en-US" w:eastAsia="zh-CN"/>
        </w:rPr>
        <w:sectPr>
          <w:headerReference r:id="rId18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300" w:space="1260"/>
            <w:col w:w="6397"/>
          </w:cols>
          <w:docGrid w:type="lines" w:linePitch="312" w:charSpace="0"/>
        </w:sectPr>
      </w:pPr>
    </w:p>
    <w:p>
      <w:pPr>
        <w:numPr>
          <w:ilvl w:val="0"/>
          <w:numId w:val="0"/>
        </w:numPr>
        <w:ind w:left="-19" w:leftChars="0"/>
        <w:jc w:val="both"/>
        <w:rPr>
          <w:rFonts w:hint="eastAsia"/>
          <w:b/>
          <w:bCs/>
          <w:sz w:val="72"/>
          <w:szCs w:val="144"/>
          <w:lang w:val="en-US" w:eastAsia="zh-CN"/>
        </w:rPr>
      </w:pP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val="en-US" w:eastAsia="zh-CN"/>
        </w:rPr>
      </w:pPr>
      <w:r>
        <w:rPr>
          <w:rFonts w:hint="eastAsia"/>
          <w:b/>
          <w:bCs/>
          <w:sz w:val="72"/>
          <w:szCs w:val="144"/>
          <w:lang w:val="en-US" w:eastAsia="zh-CN"/>
        </w:rPr>
        <w:t>智能交互作业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276" w:lineRule="auto"/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几何组成交互分析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内力图交互绘制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计算指定截面内力、反力交互作业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图乘法交互计算位移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力法交互分析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位移法交互分析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力矩分配法交互分析</w:t>
      </w:r>
    </w:p>
    <w:p>
      <w:pPr>
        <w:numPr>
          <w:ilvl w:val="0"/>
          <w:numId w:val="6"/>
        </w:numPr>
        <w:adjustRightInd w:val="0"/>
        <w:snapToGrid w:val="0"/>
        <w:spacing w:line="276" w:lineRule="auto"/>
        <w:ind w:left="420" w:leftChars="0" w:firstLine="546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分析前简化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276" w:lineRule="auto"/>
        <w:jc w:val="center"/>
        <w:rPr>
          <w:rFonts w:hint="default"/>
          <w:b/>
          <w:bCs/>
          <w:color w:val="FF0000"/>
          <w:sz w:val="32"/>
          <w:szCs w:val="40"/>
          <w:lang w:val="en-US" w:eastAsia="zh-CN"/>
        </w:rPr>
        <w:sectPr>
          <w:headerReference r:id="rId19" w:type="default"/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b/>
          <w:bCs/>
          <w:color w:val="FF0000"/>
          <w:sz w:val="32"/>
          <w:szCs w:val="40"/>
          <w:lang w:val="en-US" w:eastAsia="zh-CN"/>
        </w:rPr>
        <w:t>【影响线、动力、稳定、极限分析等模块交互作业，调试中，敬请等待】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几何组成交互分析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CN"/>
        </w:rPr>
        <w:t>分析总则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  <w:t>几何组成分析利用“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zh-CN"/>
          <w14:textFill>
            <w14:solidFill>
              <w14:schemeClr w14:val="accent5"/>
            </w14:solidFill>
          </w14:textFill>
        </w:rPr>
        <w:t>铰结三角形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  <w:t>”内部几何不变、且无多余约束的原理进行。“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zh-CN"/>
          <w14:textFill>
            <w14:solidFill>
              <w14:schemeClr w14:val="accent5"/>
            </w14:solidFill>
          </w14:textFill>
        </w:rPr>
        <w:t>铰结三角形法则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  <w:t>”非完备分析方法，对某些体系无法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直接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  <w:t>适用。教师出题时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zh-CN"/>
        </w:rPr>
        <w:t>注意把控。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【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说明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】系统尽量让分析者有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更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大主控，还原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学生在主观作业过程中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所有可能错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误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。人工智能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在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模拟力学思维时仍有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所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zh-CN"/>
        </w:rPr>
        <w:t>局限，部分操作会作限定。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(1) 去除可直接识别的多余约束再进入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“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铰结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三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角形分析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”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；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(2) 若去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除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</w:rPr>
        <w:t>多余约束后, 存在可直接识别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的运动自由度（计算自由度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&gt;0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eastAsia="zh-CN"/>
        </w:rPr>
        <w:t>），可输入分析结论并提交；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(3) 无论最终是否适用铰结三角形分析，应尽量进行刚片合并/去除，分析过程会作为评判依据；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(4) 对不变体系，需合并/去除离散杆件或刚片，直至单刚片（或剩余部分均直接相互刚结）方可提交；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(5) 三铰共线/铰杆共线/链杆平行的可变体系，需选中刚片及链杆/虚铰，确认“无法合并”后，再行提交；</w:t>
      </w:r>
    </w:p>
    <w:p>
      <w:pPr>
        <w:spacing w:beforeLines="0" w:afterLines="0"/>
        <w:ind w:firstLine="420" w:firstLineChars="0"/>
        <w:jc w:val="left"/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(6) 对所联系刚片，虚铰应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u w:val="none"/>
          <w:em w:val="dot"/>
          <w:lang w:val="en-US" w:eastAsia="zh-CN"/>
        </w:rPr>
        <w:t>顺序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、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u w:val="none"/>
          <w:em w:val="dot"/>
          <w:lang w:val="en-US" w:eastAsia="zh-CN"/>
        </w:rPr>
        <w:t>连续</w:t>
      </w:r>
      <w:r>
        <w:rPr>
          <w:rFonts w:hint="eastAsia" w:ascii="新宋体" w:hAnsi="新宋体" w:eastAsia="新宋体"/>
          <w:b/>
          <w:bCs/>
          <w:color w:val="0000FF"/>
          <w:sz w:val="24"/>
          <w:szCs w:val="24"/>
          <w:lang w:val="en-US" w:eastAsia="zh-CN"/>
        </w:rPr>
        <w:t>选择链杆，实铰系统自动判断。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sz w:val="24"/>
          <w:szCs w:val="24"/>
          <w:lang w:val="zh-CN"/>
        </w:rPr>
      </w:pPr>
      <w:r>
        <w:rPr>
          <w:rFonts w:hint="eastAsia" w:ascii="楷体" w:hAnsi="楷体" w:eastAsia="楷体" w:cs="楷体"/>
          <w:sz w:val="24"/>
          <w:szCs w:val="24"/>
          <w:lang w:val="zh-CN"/>
        </w:rPr>
        <w:t>【说明】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各支座地基独立显示，但</w:t>
      </w:r>
      <w:r>
        <w:rPr>
          <w:rFonts w:hint="eastAsia" w:ascii="楷体" w:hAnsi="楷体" w:eastAsia="楷体" w:cs="楷体"/>
          <w:sz w:val="24"/>
          <w:szCs w:val="24"/>
          <w:lang w:val="zh-CN"/>
        </w:rPr>
        <w:t>地基（支座下斜线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区域</w:t>
      </w:r>
      <w:r>
        <w:rPr>
          <w:rFonts w:hint="eastAsia" w:ascii="楷体" w:hAnsi="楷体" w:eastAsia="楷体" w:cs="楷体"/>
          <w:sz w:val="24"/>
          <w:szCs w:val="24"/>
          <w:lang w:val="zh-CN"/>
        </w:rPr>
        <w:t>）为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连通</w:t>
      </w:r>
      <w:r>
        <w:rPr>
          <w:rFonts w:hint="eastAsia" w:ascii="楷体" w:hAnsi="楷体" w:eastAsia="楷体" w:cs="楷体"/>
          <w:sz w:val="24"/>
          <w:szCs w:val="24"/>
          <w:lang w:val="zh-CN"/>
        </w:rPr>
        <w:t>完整刚片，选择任一支座地基，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则</w:t>
      </w:r>
      <w:r>
        <w:rPr>
          <w:rFonts w:hint="eastAsia" w:ascii="楷体" w:hAnsi="楷体" w:eastAsia="楷体" w:cs="楷体"/>
          <w:sz w:val="24"/>
          <w:szCs w:val="24"/>
          <w:lang w:val="zh-CN"/>
        </w:rPr>
        <w:t>所有支座地基将同步选中。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sz w:val="24"/>
          <w:szCs w:val="24"/>
          <w:lang w:val="zh-CN"/>
        </w:rPr>
      </w:pPr>
      <w:r>
        <w:rPr>
          <w:rFonts w:hint="eastAsia" w:ascii="楷体" w:hAnsi="楷体" w:eastAsia="楷体" w:cs="楷体"/>
          <w:sz w:val="24"/>
          <w:szCs w:val="24"/>
          <w:lang w:val="zh-CN"/>
        </w:rPr>
        <w:t>无支座体系，系统忽略整体运动自由度，仅分析</w:t>
      </w:r>
      <w:r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zh-CN"/>
        </w:rPr>
        <w:t>内部可变度</w:t>
      </w:r>
      <w:r>
        <w:rPr>
          <w:rFonts w:hint="eastAsia" w:ascii="楷体" w:hAnsi="楷体" w:eastAsia="楷体" w:cs="楷体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操作步骤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：</w:t>
      </w:r>
      <w:r>
        <w:rPr>
          <w:rFonts w:hint="eastAsia" w:ascii="仿宋" w:hAnsi="仿宋" w:eastAsia="仿宋" w:cs="仿宋"/>
          <w:sz w:val="24"/>
          <w:szCs w:val="24"/>
          <w:lang w:val="zh-CN"/>
        </w:rPr>
        <w:t>点击“</w:t>
      </w:r>
      <w:r>
        <w:rPr>
          <w:rFonts w:hint="eastAsia" w:ascii="仿宋" w:hAnsi="仿宋" w:eastAsia="仿宋" w:cs="仿宋"/>
          <w:b/>
          <w:bCs/>
          <w:sz w:val="24"/>
          <w:szCs w:val="24"/>
          <w:lang w:val="zh-CN"/>
        </w:rPr>
        <w:t>几何组成分析开始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/重新开始</w:t>
      </w:r>
      <w:r>
        <w:rPr>
          <w:rFonts w:hint="eastAsia" w:ascii="仿宋" w:hAnsi="仿宋" w:eastAsia="仿宋" w:cs="仿宋"/>
          <w:sz w:val="24"/>
          <w:szCs w:val="24"/>
          <w:lang w:val="zh-CN"/>
        </w:rPr>
        <w:t>”，进入几何组成分析；本模块不支持操作步回退，若操作失误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或使用多方法尝试</w:t>
      </w:r>
      <w:r>
        <w:rPr>
          <w:rFonts w:hint="eastAsia" w:ascii="仿宋" w:hAnsi="仿宋" w:eastAsia="仿宋" w:cs="仿宋"/>
          <w:sz w:val="24"/>
          <w:szCs w:val="24"/>
          <w:lang w:val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亦</w:t>
      </w:r>
      <w:r>
        <w:rPr>
          <w:rFonts w:hint="eastAsia" w:ascii="仿宋" w:hAnsi="仿宋" w:eastAsia="仿宋" w:cs="仿宋"/>
          <w:sz w:val="24"/>
          <w:szCs w:val="24"/>
          <w:lang w:val="zh-CN"/>
        </w:rPr>
        <w:t>须点击本按键，重新开始分析。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操作步正误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依据当前状态进行概念性认定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。用户之前的错误操作，不影响对后续步骤进行概念性判断。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sz w:val="24"/>
          <w:szCs w:val="24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 w:eastAsia="zh-CN"/>
        </w:rPr>
        <w:t>步骤一：去除多余约束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判断体系存在多余约束，在此操作。用户在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尽量去除所识别到的多余约束。适用于“铰结三角形”的铰、铰杆共线模式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的多余约束，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在</w:t>
      </w:r>
      <w:r>
        <w:rPr>
          <w:rFonts w:hint="eastAsia" w:ascii="宋体" w:hAnsi="宋体" w:eastAsia="宋体" w:cs="宋体"/>
          <w:sz w:val="24"/>
          <w:szCs w:val="24"/>
          <w:u w:val="none"/>
          <w:em w:val="dot"/>
          <w:lang w:eastAsia="zh-CN"/>
        </w:rPr>
        <w:t>铰结三角形分析阶段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再作认定。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去除链杆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使用鼠标左键选择构成链杆的杆件，若链杆由多根杆件组成，应连续选择，鼠标右键结束当前链杆选择（本操作步对象，非自动延伸，连续杆件需要逐一选取）。系统将所有当前已选中的</w:t>
      </w:r>
      <w:r>
        <w:rPr>
          <w:rFonts w:hint="eastAsia" w:ascii="宋体" w:hAnsi="宋体" w:eastAsia="宋体" w:cs="宋体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杆件/杆件群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视为一个多余链杆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图所示，多杆形成的折线型链杆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ACFE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，连续左键选择三根杆件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AC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CF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FE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（无视顺序），鼠标右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键执行链杆去除，系统将其视为一个链杆去除。一次右键操作只应去除一根链杆。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bottom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93190" cy="989330"/>
            <wp:effectExtent l="0" t="0" r="16510" b="127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/>
                    </pic:cNvPicPr>
                  </pic:nvPicPr>
                  <pic:blipFill>
                    <a:blip r:embed="rId134"/>
                    <a:srcRect t="3672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7305" cy="992505"/>
            <wp:effectExtent l="0" t="0" r="17145" b="17145"/>
            <wp:docPr id="5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/>
                    <pic:cNvPicPr>
                      <a:picLocks noChangeAspect="1"/>
                    </pic:cNvPicPr>
                  </pic:nvPicPr>
                  <pic:blipFill>
                    <a:blip r:embed="rId135"/>
                    <a:srcRect t="4491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杆端变铰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使用鼠标选择杆件，在鼠标点</w:t>
      </w:r>
      <w:r>
        <w:rPr>
          <w:rFonts w:hint="eastAsia" w:ascii="宋体" w:hAnsi="宋体" w:eastAsia="宋体" w:cs="宋体"/>
          <w:sz w:val="24"/>
          <w:szCs w:val="24"/>
          <w:em w:val="dot"/>
          <w:lang w:val="en-US" w:eastAsia="zh-CN"/>
        </w:rPr>
        <w:t>更靠近的一侧杆端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位置点击，释放杆端转动约束。鼠标移动过程中，系统实时异色显示“铰”变效果。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杆件的支座端“变铰”，应在“解除支座约束”处操作。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结点删除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使用鼠标选择结点或截面，拾中位置以矩形框显示，单击系统删除选中结点。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可操作对象包括：杆件中部结点、单/复结点、复合结点。</w:t>
      </w: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解除支座约束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鼠标选择支座结点（杆端点），在弹出选择框选中去除。“刚臂支座”不支持“铰结三角形”分析，系统限制去除多余约束后某支座只存在转动约束的操作。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以上步骤去除的多余约束，将不能再对其继续操作。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步骤二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点击按键“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基于铰结三角形的几何组成分析-开始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”开始本步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去除所有多余约束后，运动自由度已存在，则可输入结论并提交。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二元体去除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与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刚片合并，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无次序要求，可按需操作。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去除二元体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用户使用鼠标左键选择认定的</w:t>
      </w:r>
      <w:r>
        <w:rPr>
          <w:rFonts w:hint="eastAsia" w:ascii="宋体" w:hAnsi="宋体" w:eastAsia="宋体" w:cs="宋体"/>
          <w:sz w:val="24"/>
          <w:szCs w:val="24"/>
          <w:u w:val="none"/>
          <w:em w:val="dot"/>
          <w:lang w:val="en-US" w:eastAsia="zh-CN"/>
        </w:rPr>
        <w:t>二元体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组成对象，可包括杆件、支杆、地基、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已经合并的刚片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自定义链杆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，应包含两个对象，鼠标左键连续完成对象选择；右键确定去除。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去除后无法继续对此二元体构成对象操作。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刚片/对象合并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选中刚片后，图形区“鼠标中键”单击，可快捷切换至链杆选择；“鼠标右键”单击，可对当前所选对象执行合并。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过程中操作失误，未执行“合并”时，可点击“杆/刚片选择”，重新开始本步骤。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选取“链杆”过程中若操作失误，可点击“链杆/虚铰选择”重新开始链杆选择，选中的刚片仍保留。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default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  <w:t>2.1 单刚片合并/自定义链杆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只选择一个</w:t>
      </w:r>
      <w:r>
        <w:rPr>
          <w:rFonts w:hint="eastAsia" w:ascii="宋体" w:hAnsi="宋体" w:eastAsia="宋体" w:cs="宋体"/>
          <w:sz w:val="24"/>
          <w:szCs w:val="24"/>
          <w:u w:val="wave"/>
          <w:lang w:val="en-US" w:eastAsia="zh-CN"/>
        </w:rPr>
        <w:t>刚片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时，适用单刚片合并。选择单刚片后，可直接执行“刚片/对象合并”，用于减少离散刚片数目。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本功能可用于</w:t>
      </w:r>
      <w:r>
        <w:rPr>
          <w:rFonts w:ascii="宋体" w:hAnsi="宋体" w:eastAsia="宋体" w:cs="宋体"/>
          <w:b/>
          <w:bCs/>
          <w:color w:val="0000FF"/>
          <w:sz w:val="24"/>
          <w:szCs w:val="24"/>
          <w:u w:val="wave"/>
        </w:rPr>
        <w:t>含虚铰链杆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的预定义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，适用于刚片与其余部分联结存在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虚铰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时。选择一个刚片后，点击“链杆选取”，再点选构成虚铰的链杆（两个或四个），两两顺序构成自定义链杆的一端（或两端）虚铰。点击“刚片/对象合并”，系统会将所选取对象贮存为“</w:t>
      </w:r>
      <w:r>
        <w:rPr>
          <w:rFonts w:ascii="宋体" w:hAnsi="宋体" w:eastAsia="宋体" w:cs="宋体"/>
          <w:b w:val="0"/>
          <w:bCs w:val="0"/>
          <w:color w:val="auto"/>
          <w:sz w:val="24"/>
          <w:szCs w:val="24"/>
          <w:u w:val="none"/>
        </w:rPr>
        <w:t>含虚铰链杆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”（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不允许两虚铰都为无穷远虚铰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含虚铰链杆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是一个特定组合，系统在后续步骤中将视其为一个组合型</w:t>
      </w:r>
      <w:r>
        <w:rPr>
          <w:rFonts w:hint="eastAsia" w:ascii="宋体" w:hAnsi="宋体" w:eastAsia="宋体" w:cs="宋体"/>
          <w:sz w:val="24"/>
          <w:szCs w:val="24"/>
          <w:em w:val="dot"/>
          <w:lang w:val="en-US" w:eastAsia="zh-CN"/>
        </w:rPr>
        <w:t>单链杆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（用户仍可将其整体作为刚片使用），其内部对象不能再单独使用。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下图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JGEC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连续杆件</w:t>
      </w:r>
      <w:r>
        <w:rPr>
          <w:rFonts w:hint="eastAsia" w:eastAsia="宋体" w:cs="Times New Roman"/>
          <w:sz w:val="24"/>
          <w:szCs w:val="24"/>
          <w:lang w:val="en-US" w:eastAsia="zh-CN"/>
        </w:rPr>
        <w:t>（刚片I）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，与四根链杆：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IG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FJ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DC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BE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，构成了一个对左侧两刚片（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HIF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ABD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）的</w:t>
      </w:r>
      <w:r>
        <w:rPr>
          <w:rFonts w:hint="default" w:ascii="Times New Roman" w:hAnsi="Times New Roman" w:eastAsia="宋体" w:cs="Times New Roman"/>
          <w:sz w:val="24"/>
          <w:szCs w:val="24"/>
          <w:u w:val="wave"/>
          <w:lang w:val="en-US" w:eastAsia="zh-CN"/>
        </w:rPr>
        <w:t>等效链杆</w:t>
      </w:r>
      <w:r>
        <w:rPr>
          <w:rFonts w:hint="eastAsia" w:eastAsia="宋体" w:cs="Times New Roman"/>
          <w:sz w:val="24"/>
          <w:szCs w:val="24"/>
          <w:u w:val="wave"/>
          <w:lang w:val="en-US" w:eastAsia="zh-CN"/>
        </w:rPr>
        <w:t>约束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（虚铰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sz w:val="24"/>
          <w:szCs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联接形成蓝色链杆，即为用户</w:t>
      </w:r>
      <w:r>
        <w:rPr>
          <w:rFonts w:hint="eastAsia" w:eastAsia="宋体" w:cs="Times New Roman"/>
          <w:sz w:val="24"/>
          <w:szCs w:val="24"/>
          <w:lang w:val="en-US" w:eastAsia="zh-CN"/>
        </w:rPr>
        <w:t>所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定义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等效链杆）。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left"/>
        <w:textAlignment w:val="top"/>
      </w:pPr>
      <w:r>
        <w:drawing>
          <wp:inline distT="0" distB="0" distL="114300" distR="114300">
            <wp:extent cx="1410970" cy="1107440"/>
            <wp:effectExtent l="0" t="0" r="17780" b="16510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136"/>
                    <a:srcRect b="6857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6990" cy="1082675"/>
            <wp:effectExtent l="0" t="0" r="16510" b="3175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137"/>
                    <a:srcRect t="4881" b="4373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9380" cy="1139190"/>
            <wp:effectExtent l="0" t="0" r="1270" b="3810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840" w:firstLineChars="400"/>
        <w:jc w:val="left"/>
        <w:textAlignment w:val="top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模型图</w:t>
      </w:r>
      <w:r>
        <w:rPr>
          <w:rFonts w:hint="eastAsia"/>
          <w:lang w:val="en-US" w:eastAsia="zh-CN"/>
        </w:rPr>
        <w:t xml:space="preserve">                 虚铰图           等效链杆图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【说明】自定义链杆后，需要对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u w:val="none"/>
        </w:rPr>
        <w:t>含虚铰链杆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进行操作时，鼠标</w:t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应移动在该</w:t>
      </w:r>
      <w:r>
        <w:rPr>
          <w:rFonts w:hint="eastAsia" w:ascii="楷体" w:hAnsi="楷体" w:eastAsia="楷体" w:cs="楷体"/>
          <w:b w:val="0"/>
          <w:bCs w:val="0"/>
          <w:color w:val="FF0000"/>
          <w:sz w:val="24"/>
          <w:szCs w:val="24"/>
          <w:u w:val="none"/>
        </w:rPr>
        <w:t>含虚铰链杆</w:t>
      </w:r>
      <w:r>
        <w:rPr>
          <w:rFonts w:hint="eastAsia" w:ascii="楷体" w:hAnsi="楷体" w:eastAsia="楷体" w:cs="楷体"/>
          <w:color w:val="FF0000"/>
          <w:sz w:val="24"/>
          <w:szCs w:val="24"/>
          <w:lang w:val="en-US" w:eastAsia="zh-CN"/>
        </w:rPr>
        <w:t>的组成对象上，方可选中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；即上图中蓝色虚线只是辅助示意，而非实体，对鼠标操作不会响应。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【说明】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u w:val="none"/>
        </w:rPr>
        <w:t>含虚铰链杆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的性质应严格满足“</w:t>
      </w:r>
      <w:r>
        <w:rPr>
          <w:rFonts w:hint="eastAsia" w:ascii="楷体" w:hAnsi="楷体" w:eastAsia="楷体" w:cs="楷体"/>
          <w:b/>
          <w:bCs/>
          <w:color w:val="0000FF"/>
          <w:sz w:val="24"/>
          <w:szCs w:val="24"/>
          <w:lang w:val="en-US" w:eastAsia="zh-CN"/>
        </w:rPr>
        <w:t>单链杆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”的定义，即该局部与体系的其余部分，只能以两铰(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虚铰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或实铰)相连。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  <w:t>2.2 两刚片合并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点选两个刚片后，应继续点击“链杆/虚铰选择”，再点选相关链杆（实铰由系统自动判定，两刚片合并时不存在虚铰判定）。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选择完毕后点击“刚片/对象合并”完成两刚片合并。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2F5597" w:themeColor="accent5" w:themeShade="BF"/>
          <w:sz w:val="24"/>
          <w:szCs w:val="24"/>
          <w:lang w:val="en-US" w:eastAsia="zh-CN"/>
        </w:rPr>
        <w:t>2.3 三刚片合并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点选三个刚片后，若三刚片为直接不共线三实铰相连，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直接确定合并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若三刚片间为虚铰相连，继续点击“链杆/虚铰选择”，顺序点击虚铰的构成链杆，系统会判别“顺序二链杆”是否可构成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有效虚铰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。选择完毕虚铰（一个、两个或者三个）后，再点击“刚片/对象合并”以完成三刚片合并。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【说明】刚片、链杆对象选择：用户使用鼠标选择杆件对象，当其它杆件与鼠标捕捉杆件直接刚接、或为已合并的刚片、系统会自动延伸选择；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【说明】对于两/三刚片合并时，若所选体系为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三铰共线、铰杆共线、三链杆平行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时，应选中关联的所有对象，并点击“</w:t>
      </w:r>
      <w:r>
        <w:rPr>
          <w:rFonts w:hint="eastAsia" w:ascii="楷体" w:hAnsi="楷体" w:eastAsia="楷体" w:cs="楷体"/>
          <w:b/>
          <w:bCs/>
          <w:color w:val="2E75B6" w:themeColor="accent1" w:themeShade="BF"/>
          <w:sz w:val="24"/>
          <w:szCs w:val="24"/>
          <w:lang w:val="en-US" w:eastAsia="zh-CN"/>
        </w:rPr>
        <w:t>三铰(铰、杆)共线,无法合并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”按钮，进行体系“</w:t>
      </w:r>
      <w:r>
        <w:rPr>
          <w:rFonts w:hint="eastAsia" w:ascii="楷体" w:hAnsi="楷体" w:eastAsia="楷体" w:cs="楷体"/>
          <w:b/>
          <w:bCs/>
          <w:color w:val="0000FF"/>
          <w:sz w:val="24"/>
          <w:szCs w:val="24"/>
          <w:lang w:val="en-US" w:eastAsia="zh-CN"/>
        </w:rPr>
        <w:t>可变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”认定。系统即接受用户已认定此局部为“可变体系”。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【说明】由于“常变”与“瞬变”皆为可变，其区别对结构常规分析意义不大，故系统目前只统一认定“可变”。用户也可根据运动图形，自行二次判断。</w:t>
      </w:r>
    </w:p>
    <w:p>
      <w:pPr>
        <w:keepNext w:val="0"/>
        <w:keepLines w:val="0"/>
        <w:pageBreakBefore w:val="0"/>
        <w:widowControl w:val="0"/>
        <w:numPr>
          <w:ilvl w:val="0"/>
          <w:numId w:val="2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top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对不变体系，去除所有多余约束，合并至单刚片后，可提交分析结果，同时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应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提交多余约束数目；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top"/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375410" cy="853440"/>
            <wp:effectExtent l="0" t="0" r="15240" b="381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139"/>
                    <a:srcRect l="2749" r="2749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3985" cy="869315"/>
            <wp:effectExtent l="0" t="0" r="5715" b="6985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140"/>
                    <a:srcRect l="3606" r="1370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6365" cy="850900"/>
            <wp:effectExtent l="0" t="0" r="13335" b="6350"/>
            <wp:docPr id="9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0"/>
                    <pic:cNvPicPr>
                      <a:picLocks noChangeAspect="1"/>
                    </pic:cNvPicPr>
                  </pic:nvPicPr>
                  <pic:blipFill>
                    <a:blip r:embed="rId141"/>
                    <a:srcRect l="1300" r="4391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80" w:firstLineChars="200"/>
        <w:jc w:val="left"/>
        <w:textAlignment w:val="top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对可变体系，则应去除或认定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zh-CN"/>
        </w:rPr>
        <w:t>所有多余约束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，并准确提交运动自由度（内部可变度）数目。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成功完成分析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，系统会动态随机显示体系的所有可能运动状态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[彩蛋</w:t>
      </w:r>
      <w:r>
        <w:rPr>
          <w:b/>
          <w:bCs/>
          <w:color w:val="FF0000"/>
          <w:sz w:val="24"/>
        </w:rPr>
        <mc:AlternateContent>
          <mc:Choice Requires="wps">
            <w:drawing>
              <wp:inline distT="0" distB="0" distL="114300" distR="114300">
                <wp:extent cx="142875" cy="156210"/>
                <wp:effectExtent l="6350" t="6350" r="22225" b="8890"/>
                <wp:docPr id="9" name="笑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2180" y="1899920"/>
                          <a:ext cx="142875" cy="15621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96" type="#_x0000_t96" style="height:12.3pt;width:11.25pt;v-text-anchor:middle;" fillcolor="#FFFF00" filled="t" stroked="t" coordsize="21600,21600" o:gfxdata="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5q/OTU&#10;AAAAAwEAAA8AAAAAAAAAAQAgAAAAIgAAAGRycy9kb3ducmV2LnhtbFBLAQIUABQAAAAIAIdO4kDk&#10;9Ev8lgIAACcFAAAOAAAAAAAAAAEAIAAAACMBAABkcnMvZTJvRG9jLnhtbFBLBQYAAAAABgAGAFkB&#10;AAArBgAAAAA=&#10;" adj="17520">
                <v:fill on="t" focussize="0,0"/>
                <v:stroke weight="1pt" color="#843C0B [1605]" miterlimit="8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]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系统自动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评判得分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，同时提供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RTF格式的文档。特殊情况下，学生无法网络实时提交，也可利用此功能以电子文档方式完成并保存作业报告。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RTF文档保存在程序目录下，文件名固定为“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几何组成分析###.RTF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”（###为顺序增加的数字编号，程序目录下从001开始自动递增保存文件，不会覆盖历史分析文件）。RFT文档中错误关键字段，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红色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显示，学生和教师可快速定位错误。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eastAsia="zh-CN"/>
        </w:rPr>
      </w:pPr>
      <w:r>
        <w:rPr>
          <w:rFonts w:hint="eastAsia" w:ascii="楷体" w:hAnsi="楷体" w:eastAsia="楷体" w:cs="楷体"/>
          <w:sz w:val="24"/>
          <w:szCs w:val="32"/>
          <w:lang w:eastAsia="zh-CN"/>
        </w:rPr>
        <w:t>【说明】</w:t>
      </w:r>
      <w:r>
        <w:rPr>
          <w:rFonts w:hint="default" w:ascii="Times New Roman" w:hAnsi="Times New Roman" w:eastAsia="楷体" w:cs="Times New Roman"/>
          <w:sz w:val="24"/>
          <w:szCs w:val="32"/>
          <w:lang w:val="en-US" w:eastAsia="zh-CN"/>
        </w:rPr>
        <w:t>RTF</w:t>
      </w:r>
      <w:r>
        <w:rPr>
          <w:rFonts w:hint="default" w:ascii="Times New Roman" w:hAnsi="Times New Roman" w:eastAsia="楷体" w:cs="Times New Roman"/>
          <w:sz w:val="24"/>
          <w:szCs w:val="32"/>
          <w:lang w:eastAsia="zh-CN"/>
        </w:rPr>
        <w:t>格式报告所附图片</w:t>
      </w:r>
      <w:r>
        <w:rPr>
          <w:rFonts w:hint="eastAsia" w:eastAsia="楷体" w:cs="Times New Roman"/>
          <w:sz w:val="24"/>
          <w:szCs w:val="32"/>
          <w:lang w:eastAsia="zh-CN"/>
        </w:rPr>
        <w:t>，</w:t>
      </w:r>
      <w:r>
        <w:rPr>
          <w:rFonts w:hint="default" w:ascii="Times New Roman" w:hAnsi="Times New Roman" w:eastAsia="楷体" w:cs="Times New Roman"/>
          <w:sz w:val="24"/>
          <w:szCs w:val="32"/>
          <w:lang w:eastAsia="zh-CN"/>
        </w:rPr>
        <w:t>来自</w:t>
      </w:r>
      <w:r>
        <w:rPr>
          <w:rFonts w:hint="default" w:ascii="Times New Roman" w:hAnsi="Times New Roman" w:eastAsia="楷体" w:cs="Times New Roman"/>
          <w:sz w:val="24"/>
          <w:szCs w:val="32"/>
          <w:lang w:val="en-US" w:eastAsia="zh-CN"/>
        </w:rPr>
        <w:t>实时</w:t>
      </w:r>
      <w:r>
        <w:rPr>
          <w:rFonts w:hint="default" w:ascii="Times New Roman" w:hAnsi="Times New Roman" w:eastAsia="楷体" w:cs="Times New Roman"/>
          <w:sz w:val="24"/>
          <w:szCs w:val="32"/>
          <w:lang w:eastAsia="zh-CN"/>
        </w:rPr>
        <w:t>分析的显示图形，为版面效果更</w:t>
      </w:r>
      <w:r>
        <w:rPr>
          <w:rFonts w:hint="eastAsia" w:eastAsia="楷体" w:cs="Times New Roman"/>
          <w:sz w:val="24"/>
          <w:szCs w:val="32"/>
          <w:lang w:val="en-US" w:eastAsia="zh-CN"/>
        </w:rPr>
        <w:t>佳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，</w:t>
      </w:r>
      <w:r>
        <w:rPr>
          <w:rFonts w:hint="default" w:ascii="Times New Roman" w:hAnsi="Times New Roman" w:eastAsia="楷体" w:cs="Times New Roman"/>
          <w:sz w:val="24"/>
          <w:szCs w:val="32"/>
          <w:lang w:val="en-US" w:eastAsia="zh-CN"/>
        </w:rPr>
        <w:t>分析时窗口内图形</w:t>
      </w:r>
      <w:r>
        <w:rPr>
          <w:rFonts w:hint="default" w:ascii="Times New Roman" w:hAnsi="Times New Roman" w:eastAsia="楷体" w:cs="Times New Roman"/>
          <w:b/>
          <w:bCs/>
          <w:color w:val="0000FF"/>
          <w:sz w:val="24"/>
          <w:szCs w:val="32"/>
          <w:lang w:val="en-US" w:eastAsia="zh-CN"/>
        </w:rPr>
        <w:t>可尽量小</w:t>
      </w:r>
      <w:r>
        <w:rPr>
          <w:rFonts w:hint="default" w:ascii="Times New Roman" w:hAnsi="Times New Roman" w:eastAsia="楷体" w:cs="Times New Roman"/>
          <w:sz w:val="24"/>
          <w:szCs w:val="32"/>
          <w:lang w:val="en-US" w:eastAsia="zh-CN"/>
        </w:rPr>
        <w:t>，显示清晰即可</w:t>
      </w:r>
      <w:r>
        <w:rPr>
          <w:rFonts w:hint="default" w:ascii="Times New Roman" w:hAnsi="Times New Roman" w:eastAsia="楷体" w:cs="Times New Roman"/>
          <w:sz w:val="24"/>
          <w:szCs w:val="32"/>
          <w:lang w:eastAsia="zh-CN"/>
        </w:rPr>
        <w:t>；亦可在</w:t>
      </w:r>
      <w:r>
        <w:rPr>
          <w:rFonts w:hint="default" w:ascii="Times New Roman" w:hAnsi="Times New Roman" w:eastAsia="楷体" w:cs="Times New Roman"/>
          <w:sz w:val="24"/>
          <w:szCs w:val="32"/>
          <w:lang w:val="en-US" w:eastAsia="zh-CN"/>
        </w:rPr>
        <w:t>WPS/WORD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中，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进一步优化版面。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175260</wp:posOffset>
            </wp:positionV>
            <wp:extent cx="1382395" cy="938530"/>
            <wp:effectExtent l="0" t="0" r="8255" b="13970"/>
            <wp:wrapSquare wrapText="bothSides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42"/>
                    <a:srcRect l="7416" t="27938" r="11865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【说明】一些结点会占据图素，系统所绘</w:t>
      </w:r>
      <w:r>
        <w:rPr>
          <w:rFonts w:hint="eastAsia" w:ascii="楷体" w:hAnsi="楷体" w:eastAsia="楷体" w:cs="楷体"/>
          <w:color w:val="0000FF"/>
          <w:sz w:val="24"/>
          <w:szCs w:val="32"/>
          <w:lang w:eastAsia="zh-CN"/>
        </w:rPr>
        <w:t>链杆辅助线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，与真实模型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或许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产生差距。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eastAsia="zh-CN"/>
        </w:rPr>
        <w:t>如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右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图中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C点定位。</w:t>
      </w:r>
      <w:r>
        <w:rPr>
          <w:rFonts w:hint="eastAsia" w:ascii="楷体" w:hAnsi="楷体" w:eastAsia="楷体" w:cs="楷体"/>
          <w:sz w:val="24"/>
          <w:szCs w:val="32"/>
          <w:lang w:eastAsia="zh-CN"/>
        </w:rPr>
        <w:t>三条虚线交点本应与铰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C中心重合，但由于此结点为复合结点，铰结点躲避刚结点后，位置偏下，系统绘制的链杆辅助线可能产生类似的图素差别，用户应作概念性理解。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本节涉及概念说明：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【二元体】：由两个对象构成，去除后，体系的几何可变性和多余约束数目均不发生变化。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【刚片】：几何不变局部，可以是一个杆件、也可由多个对象合并而成。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【链杆】：特指单链杆，可以是一个杆件，或一个刚片，与体系的其余部分只能以两个铰相连。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【虚铰】：两链杆分别连接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32"/>
          <w:em w:val="dot"/>
          <w:lang w:val="en-US" w:eastAsia="zh-CN"/>
          <w14:textFill>
            <w14:solidFill>
              <w14:schemeClr w14:val="accent5"/>
            </w14:solidFill>
          </w14:textFill>
        </w:rPr>
        <w:t>相同二刚片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，形成等效铰。系统对</w:t>
      </w:r>
      <w:r>
        <w:rPr>
          <w:rFonts w:hint="eastAsia" w:ascii="楷体" w:hAnsi="楷体" w:eastAsia="楷体" w:cs="楷体"/>
          <w:b/>
          <w:bCs/>
          <w:color w:val="4472C4" w:themeColor="accent5"/>
          <w:sz w:val="24"/>
          <w:szCs w:val="32"/>
          <w:lang w:val="en-US" w:eastAsia="zh-CN"/>
          <w14:textFill>
            <w14:solidFill>
              <w14:schemeClr w14:val="accent5"/>
            </w14:solidFill>
          </w14:textFill>
        </w:rPr>
        <w:t>所有虚铰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均进行“虚铰有效性”判定，即要求两链杆、两端分别连接于相同刚片。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default" w:ascii="楷体" w:hAnsi="楷体" w:eastAsia="楷体" w:cs="楷体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如下图所示对象，若</w:t>
      </w:r>
      <w:r>
        <w:rPr>
          <w:rFonts w:hint="default" w:ascii="Times New Roman" w:hAnsi="Times New Roman" w:eastAsia="楷体" w:cs="Times New Roman"/>
          <w:i w:val="0"/>
          <w:iCs w:val="0"/>
          <w:sz w:val="24"/>
          <w:szCs w:val="32"/>
          <w:lang w:val="en-US" w:eastAsia="zh-CN"/>
        </w:rPr>
        <w:t>以</w:t>
      </w:r>
      <w:r>
        <w:rPr>
          <w:rFonts w:hint="default" w:ascii="Times New Roman" w:hAnsi="Times New Roman" w:eastAsia="楷体" w:cs="Times New Roman"/>
          <w:i/>
          <w:iCs/>
          <w:sz w:val="24"/>
          <w:szCs w:val="32"/>
          <w:lang w:val="en-US" w:eastAsia="zh-CN"/>
        </w:rPr>
        <w:t>AE、CG</w:t>
      </w:r>
      <w:r>
        <w:rPr>
          <w:rFonts w:hint="default" w:ascii="Times New Roman" w:hAnsi="Times New Roman" w:eastAsia="楷体" w:cs="Times New Roman"/>
          <w:i w:val="0"/>
          <w:iCs w:val="0"/>
          <w:sz w:val="24"/>
          <w:szCs w:val="32"/>
          <w:lang w:val="en-US" w:eastAsia="zh-CN"/>
        </w:rPr>
        <w:t>为链杆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构建虚铰时，是否对下部三角形</w:t>
      </w:r>
      <w:r>
        <w:rPr>
          <w:rFonts w:hint="eastAsia" w:ascii="楷体" w:hAnsi="楷体" w:eastAsia="楷体" w:cs="楷体"/>
          <w:b/>
          <w:bCs/>
          <w:color w:val="0000FF"/>
          <w:sz w:val="24"/>
          <w:szCs w:val="32"/>
          <w:lang w:val="en-US" w:eastAsia="zh-CN"/>
        </w:rPr>
        <w:t>已经</w:t>
      </w:r>
      <w:r>
        <w:rPr>
          <w:rFonts w:hint="eastAsia" w:ascii="楷体" w:hAnsi="楷体" w:eastAsia="楷体" w:cs="楷体"/>
          <w:sz w:val="24"/>
          <w:szCs w:val="32"/>
          <w:lang w:val="en-US" w:eastAsia="zh-CN"/>
        </w:rPr>
        <w:t>执行了刚片合并，会影响此虚铰认定的有效性。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tbl>
      <w:tblPr>
        <w:tblStyle w:val="9"/>
        <w:tblW w:w="0" w:type="auto"/>
        <w:tblInd w:w="3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008505" cy="754380"/>
                  <wp:effectExtent l="0" t="0" r="10795" b="7620"/>
                  <wp:docPr id="9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rcRect l="6760" t="12680" r="4919" b="5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0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78025" cy="807085"/>
                  <wp:effectExtent l="0" t="0" r="3175" b="12065"/>
                  <wp:docPr id="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rcRect l="6021" t="11240" r="5348" b="29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89760" cy="814705"/>
                  <wp:effectExtent l="0" t="0" r="15240" b="4445"/>
                  <wp:docPr id="9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rcRect l="4288" t="10468" r="1784" b="20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4472C4" w:themeColor="accent5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无效虚铰</w:t>
            </w:r>
            <w:r>
              <w:rPr>
                <w:rFonts w:hint="eastAsia"/>
                <w:lang w:val="en-US" w:eastAsia="zh-CN"/>
              </w:rPr>
              <w:t>：未同时连接二刚片</w:t>
            </w:r>
          </w:p>
        </w:tc>
        <w:tc>
          <w:tcPr>
            <w:tcW w:w="3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Lines="0" w:afterLine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4472C4" w:themeColor="accent5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有效虚铰</w:t>
            </w:r>
            <w:r>
              <w:rPr>
                <w:rFonts w:hint="eastAsia"/>
                <w:lang w:val="en-US" w:eastAsia="zh-CN"/>
              </w:rPr>
              <w:t>：同时连接二刚片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/>
        <w:ind w:left="0" w:leftChars="0" w:firstLine="420" w:firstLineChars="0"/>
        <w:jc w:val="left"/>
        <w:rPr>
          <w:rFonts w:hint="default"/>
          <w:lang w:val="en-US" w:eastAsia="zh-CN"/>
        </w:rPr>
        <w:sectPr>
          <w:headerReference r:id="rId20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767" w:space="425"/>
            <w:col w:w="6766"/>
          </w:cols>
          <w:docGrid w:type="lines" w:linePitch="312" w:charSpace="0"/>
        </w:sectPr>
      </w:pPr>
      <w:r>
        <w:rPr>
          <w:rFonts w:hint="eastAsia"/>
          <w:lang w:val="en-US" w:eastAsia="zh-CN"/>
        </w:rPr>
        <w:t>【说明】内结点为定向结点的，暂不支持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内力图交互绘制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绘制总则：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对常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规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结构、常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规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荷载下内力图，提供图形辅助绘制。分布荷载只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允许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均布荷载模式（</w:t>
      </w:r>
      <w:r>
        <w:rPr>
          <w:rFonts w:hint="default" w:ascii="Times New Roman" w:hAnsi="Times New Roman" w:eastAsia="宋体" w:cs="Times New Roman"/>
          <w:i/>
          <w:iCs/>
          <w:sz w:val="24"/>
          <w:szCs w:val="24"/>
          <w:lang w:val="en-US" w:eastAsia="zh-CN"/>
        </w:rPr>
        <w:t>q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=常数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），由于更复杂荷载模式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精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确表达内力图较为困难，故未考虑交互绘制。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系统只提供</w:t>
      </w:r>
      <w:r>
        <w:rPr>
          <w:rFonts w:hint="eastAsia" w:ascii="宋体" w:hAnsi="宋体" w:eastAsia="宋体" w:cs="宋体"/>
          <w:sz w:val="24"/>
          <w:szCs w:val="24"/>
          <w:u w:val="single"/>
          <w:lang w:val="zh-CN"/>
        </w:rPr>
        <w:t>直杆段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内力的辅助绘制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，用户需自行判断内力图由何种几何图形组成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3" w:leftChars="0" w:hanging="843" w:hangingChars="350"/>
        <w:jc w:val="left"/>
        <w:textAlignment w:val="auto"/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第一步 杆段拆分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自然杆段因杆件转折、结点、支座形成。有时自然杆段上内力图也比较复杂，可将自然杆段拆分为数个杆段，细化后进行内力图的绘制。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内力图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在直线杆段上“分段”绘制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，如下所示图形，可拆分为五个杆段进行；杆段内力图的绘制是通过本杆段两端截面内力值进行；</w:t>
      </w: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分段绘制，可保证内力图任意线性变化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hanging="840" w:hangingChars="400"/>
        <w:jc w:val="center"/>
        <w:textAlignment w:val="auto"/>
      </w:pPr>
      <w:r>
        <w:drawing>
          <wp:inline distT="0" distB="0" distL="114300" distR="114300">
            <wp:extent cx="2700655" cy="819785"/>
            <wp:effectExtent l="0" t="0" r="4445" b="18415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0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3" w:leftChars="0" w:hanging="843" w:hangingChars="350"/>
        <w:jc w:val="left"/>
        <w:textAlignment w:val="auto"/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第二步 内力叠加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借助叠加方式，可在简单直线图形上，构造进一步复杂图形。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center"/>
        <w:textAlignment w:val="auto"/>
      </w:pPr>
      <w:r>
        <w:drawing>
          <wp:inline distT="0" distB="0" distL="114300" distR="114300">
            <wp:extent cx="3325495" cy="1008380"/>
            <wp:effectExtent l="0" t="0" r="8255" b="1270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147"/>
                    <a:srcRect t="40768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5495" cy="586740"/>
            <wp:effectExtent l="0" t="0" r="8255" b="381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7"/>
                    <a:srcRect b="65535"/>
                    <a:stretch>
                      <a:fillRect/>
                    </a:stretch>
                  </pic:blipFill>
                  <pic:spPr>
                    <a:xfrm>
                      <a:off x="0" y="0"/>
                      <a:ext cx="332549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8"/>
          <w:szCs w:val="28"/>
          <w:lang w:val="en-US" w:eastAsia="zh-CN"/>
        </w:rPr>
        <w:t>以梁为例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杆段拆分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输入各杆段始末两端控制截面内力值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系统自动直线连接始末两端内力值，形成对应内力图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弯矩图形绘制时，杆段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24"/>
          <w:lang w:val="en-US" w:eastAsia="zh-CN"/>
        </w:rPr>
        <w:t>单击鼠标右键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，可对本杆段进行简支弯矩叠加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内力数值输入时，不考虑</w:t>
      </w:r>
      <w:r>
        <w:rPr>
          <w:rFonts w:hint="default" w:ascii="Times New Roman" w:hAnsi="Times New Roman" w:eastAsia="宋体" w:cs="Times New Roman"/>
          <w:b/>
          <w:bCs/>
          <w:i/>
          <w:iCs/>
          <w:sz w:val="24"/>
          <w:szCs w:val="24"/>
          <w:lang w:val="en-US" w:eastAsia="zh-CN"/>
        </w:rPr>
        <w:t>FqMla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等符号，系统自动附加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51480" cy="840740"/>
            <wp:effectExtent l="0" t="0" r="0" b="16510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"/>
                    <pic:cNvPicPr>
                      <a:picLocks noChangeAspect="1"/>
                    </pic:cNvPicPr>
                  </pic:nvPicPr>
                  <pic:blipFill>
                    <a:blip r:embed="rId148"/>
                    <a:srcRect t="11283" b="10095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绘图方法一（拆分为三杆段）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左侧功能树点击“内力图绘制”“弯矩图绘制”后，鼠标移动至右侧绘图区，当鼠标移动到杆件上时，杆件变为红色，同时显示本杆件的长度，以及输入数值的顺序方向（所示箭头指向），和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系统约定的弯矩正负值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（对本杆，如图示，当输入“正值”时，系统将此弯矩值表示在上侧；若输入负值，弯矩值则标示在下侧）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917700" cy="664210"/>
            <wp:effectExtent l="0" t="0" r="6350" b="254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根据弯矩图特征，将杆件拆分为三个杆段，长度分别为6m、3m、3m。点击鼠标选中杆件，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操作区下部出现的“杆段拆分信息”在操作前后分别为下表所示：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1"/>
        <w:gridCol w:w="3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杆件选中时的显示</w:t>
            </w:r>
          </w:p>
        </w:tc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09750" cy="588645"/>
                  <wp:effectExtent l="0" t="0" r="0" b="1905"/>
                  <wp:docPr id="4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下拉框选中</w:t>
            </w:r>
            <w:r>
              <w:rPr>
                <w:rFonts w:hint="eastAsia"/>
                <w:lang w:val="en-US" w:eastAsia="zh-CN"/>
              </w:rPr>
              <w:t>3时显示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（3个杆段）</w:t>
            </w:r>
          </w:p>
        </w:tc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Lines="0" w:line="240" w:lineRule="auto"/>
              <w:jc w:val="center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71650" cy="616585"/>
                  <wp:effectExtent l="0" t="0" r="0" b="12065"/>
                  <wp:docPr id="4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将第一杆段长度改为</w:t>
            </w:r>
            <w:r>
              <w:rPr>
                <w:rFonts w:hint="eastAsia"/>
                <w:lang w:val="en-US" w:eastAsia="zh-CN"/>
              </w:rPr>
              <w:t>6后的显示</w:t>
            </w:r>
          </w:p>
        </w:tc>
        <w:tc>
          <w:tcPr>
            <w:tcW w:w="34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31975" cy="589915"/>
                  <wp:effectExtent l="0" t="0" r="15875" b="635"/>
                  <wp:docPr id="4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219710</wp:posOffset>
            </wp:positionV>
            <wp:extent cx="1719580" cy="601980"/>
            <wp:effectExtent l="0" t="0" r="13970" b="7620"/>
            <wp:wrapSquare wrapText="bothSides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eastAsia="zh-CN"/>
        </w:rPr>
        <w:t>杆段拆分完成，鼠标移动回绘图区。</w:t>
      </w:r>
      <w:r>
        <w:rPr>
          <w:rFonts w:hint="eastAsia"/>
          <w:sz w:val="24"/>
          <w:szCs w:val="32"/>
          <w:lang w:val="en-US" w:eastAsia="zh-CN"/>
        </w:rPr>
        <w:t>对</w:t>
      </w:r>
      <w:r>
        <w:rPr>
          <w:rFonts w:hint="eastAsia"/>
          <w:sz w:val="24"/>
          <w:szCs w:val="32"/>
          <w:lang w:eastAsia="zh-CN"/>
        </w:rPr>
        <w:t>“杆件”的操作改换为拆分后“杆段”的操作。鼠标移动至杆件上</w:t>
      </w:r>
      <w:r>
        <w:rPr>
          <w:rFonts w:hint="eastAsia"/>
          <w:sz w:val="24"/>
          <w:szCs w:val="32"/>
          <w:lang w:val="en-US" w:eastAsia="zh-CN"/>
        </w:rPr>
        <w:t>时，</w:t>
      </w:r>
      <w:r>
        <w:rPr>
          <w:rFonts w:hint="eastAsia"/>
          <w:sz w:val="24"/>
          <w:szCs w:val="32"/>
          <w:lang w:eastAsia="zh-CN"/>
        </w:rPr>
        <w:t>显示变成各杆段可分别被选中的状态。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选中左侧第一杆段，系统弹出数值输入框，输入相应数值（注意输入数值正负应与系统显示方向一致），</w:t>
      </w:r>
      <w:r>
        <w:rPr>
          <w:rFonts w:hint="eastAsia"/>
          <w:b/>
          <w:bCs/>
          <w:color w:val="FF0000"/>
          <w:sz w:val="24"/>
          <w:szCs w:val="32"/>
          <w:lang w:eastAsia="zh-CN"/>
        </w:rPr>
        <w:t>回车确定</w:t>
      </w:r>
      <w:r>
        <w:rPr>
          <w:rFonts w:hint="eastAsia"/>
          <w:sz w:val="24"/>
          <w:szCs w:val="32"/>
          <w:lang w:eastAsia="zh-CN"/>
        </w:rPr>
        <w:t>；输入框会切换至第一杆段的末端，回车确定；输入框会切换于第二杆段的始端，如此直到本杆所有杆段的始末端弯矩值输入完成。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</w:pPr>
      <w:r>
        <w:drawing>
          <wp:inline distT="0" distB="0" distL="114300" distR="114300">
            <wp:extent cx="2771775" cy="781050"/>
            <wp:effectExtent l="0" t="0" r="9525" b="0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第一杆段弯矩图需要执行叠加。将鼠标移动至第一杆段，状态变成红色时（下图</w:t>
      </w:r>
      <w:r>
        <w:rPr>
          <w:rFonts w:hint="eastAsia"/>
          <w:sz w:val="24"/>
          <w:szCs w:val="32"/>
          <w:lang w:val="en-US" w:eastAsia="zh-CN"/>
        </w:rPr>
        <w:t>左</w:t>
      </w:r>
      <w:r>
        <w:rPr>
          <w:rFonts w:hint="eastAsia"/>
          <w:sz w:val="24"/>
          <w:szCs w:val="32"/>
          <w:lang w:eastAsia="zh-CN"/>
        </w:rPr>
        <w:t>），</w:t>
      </w:r>
      <w:r>
        <w:rPr>
          <w:rFonts w:hint="eastAsia"/>
          <w:b/>
          <w:bCs/>
          <w:color w:val="FF0000"/>
          <w:sz w:val="24"/>
          <w:szCs w:val="32"/>
          <w:lang w:eastAsia="zh-CN"/>
        </w:rPr>
        <w:t>鼠标右键</w:t>
      </w:r>
      <w:r>
        <w:rPr>
          <w:rFonts w:hint="eastAsia"/>
          <w:b/>
          <w:bCs/>
          <w:color w:val="auto"/>
          <w:sz w:val="24"/>
          <w:szCs w:val="32"/>
          <w:lang w:eastAsia="zh-CN"/>
        </w:rPr>
        <w:t>点击</w:t>
      </w:r>
      <w:r>
        <w:rPr>
          <w:rFonts w:hint="eastAsia"/>
          <w:sz w:val="24"/>
          <w:szCs w:val="32"/>
          <w:lang w:eastAsia="zh-CN"/>
        </w:rPr>
        <w:t>，弹出叠加选项（下图</w:t>
      </w:r>
      <w:r>
        <w:rPr>
          <w:rFonts w:hint="eastAsia"/>
          <w:sz w:val="24"/>
          <w:szCs w:val="32"/>
          <w:lang w:val="en-US" w:eastAsia="zh-CN"/>
        </w:rPr>
        <w:t>右</w:t>
      </w:r>
      <w:r>
        <w:rPr>
          <w:rFonts w:hint="eastAsia"/>
          <w:sz w:val="24"/>
          <w:szCs w:val="32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</w:pPr>
      <w:r>
        <w:drawing>
          <wp:inline distT="0" distB="0" distL="114300" distR="114300">
            <wp:extent cx="1989455" cy="584200"/>
            <wp:effectExtent l="0" t="0" r="10795" b="635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2180" cy="735330"/>
            <wp:effectExtent l="0" t="0" r="7620" b="7620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弯矩图绘制时，系统提供三种叠加模式：</w:t>
      </w:r>
      <w:r>
        <w:rPr>
          <w:rFonts w:hint="eastAsia"/>
          <w:sz w:val="24"/>
          <w:szCs w:val="32"/>
          <w:lang w:eastAsia="zh-CN"/>
        </w:rPr>
        <w:t>根据分布荷载特征，</w:t>
      </w:r>
      <w:r>
        <w:rPr>
          <w:rFonts w:hint="eastAsia"/>
          <w:sz w:val="24"/>
          <w:szCs w:val="32"/>
          <w:lang w:val="en-US" w:eastAsia="zh-CN"/>
        </w:rPr>
        <w:t>有</w:t>
      </w:r>
      <w:r>
        <w:rPr>
          <w:rFonts w:hint="eastAsia"/>
          <w:b/>
          <w:bCs/>
          <w:color w:val="0000FF"/>
          <w:sz w:val="24"/>
          <w:szCs w:val="32"/>
          <w:lang w:eastAsia="zh-CN"/>
        </w:rPr>
        <w:t>杆段满长均布、跨中集中力、跨中集中力偶矩</w:t>
      </w:r>
      <w:r>
        <w:rPr>
          <w:rFonts w:hint="eastAsia"/>
          <w:sz w:val="24"/>
          <w:szCs w:val="32"/>
          <w:lang w:eastAsia="zh-CN"/>
        </w:rPr>
        <w:t>，点击对应图形，输入叠加的数值（</w:t>
      </w:r>
      <w:r>
        <w:rPr>
          <w:rFonts w:hint="eastAsia"/>
          <w:color w:val="FF0000"/>
          <w:sz w:val="24"/>
          <w:szCs w:val="32"/>
          <w:lang w:val="en-US" w:eastAsia="zh-CN"/>
        </w:rPr>
        <w:t>负值</w:t>
      </w:r>
      <w:r>
        <w:rPr>
          <w:rFonts w:hint="eastAsia"/>
          <w:sz w:val="24"/>
          <w:szCs w:val="32"/>
          <w:lang w:val="en-US" w:eastAsia="zh-CN"/>
        </w:rPr>
        <w:t>为图示方向的反向叠加</w:t>
      </w:r>
      <w:r>
        <w:rPr>
          <w:rFonts w:hint="eastAsia"/>
          <w:sz w:val="24"/>
          <w:szCs w:val="32"/>
          <w:lang w:eastAsia="zh-CN"/>
        </w:rPr>
        <w:t>），即可完成叠加。（</w:t>
      </w:r>
      <w:r>
        <w:rPr>
          <w:rFonts w:hint="eastAsia"/>
          <w:color w:val="000000" w:themeColor="text1"/>
          <w:sz w:val="24"/>
          <w:szCs w:val="32"/>
          <w:lang w:eastAsia="zh-CN"/>
          <w14:textFill>
            <w14:solidFill>
              <w14:schemeClr w14:val="tx1"/>
            </w14:solidFill>
          </w14:textFill>
        </w:rPr>
        <w:t>注：一个杆段只能执行一次叠加，再一次操作杆段叠加，会替换前一次的操作</w:t>
      </w:r>
      <w:r>
        <w:rPr>
          <w:rFonts w:hint="eastAsia"/>
          <w:sz w:val="24"/>
          <w:szCs w:val="32"/>
          <w:lang w:eastAsia="zh-CN"/>
        </w:rPr>
        <w:t>）。完成的弯矩图如下图所示。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530475" cy="669290"/>
            <wp:effectExtent l="0" t="0" r="3175" b="1651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绘图方法二（拆分为两杆段）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楷体" w:hAnsi="楷体" w:eastAsia="楷体" w:cs="楷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24"/>
          <w:szCs w:val="24"/>
          <w:lang w:val="en-US" w:eastAsia="zh-CN"/>
        </w:rPr>
        <w:t>本例集中力作用在结构右半跨跨中，弯矩图在绘制时也可只拆分为两个杆段（6m+6m），并执行两段叠加。</w:t>
      </w:r>
    </w:p>
    <w:tbl>
      <w:tblPr>
        <w:tblStyle w:val="9"/>
        <w:tblW w:w="6621" w:type="dxa"/>
        <w:tblInd w:w="3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5"/>
        <w:gridCol w:w="4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拆分的杆段</w:t>
            </w:r>
          </w:p>
        </w:tc>
        <w:tc>
          <w:tcPr>
            <w:tcW w:w="40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19350" cy="613410"/>
                  <wp:effectExtent l="0" t="0" r="0" b="15240"/>
                  <wp:docPr id="6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</w:trPr>
        <w:tc>
          <w:tcPr>
            <w:tcW w:w="25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输入控制截面弯矩值后</w:t>
            </w:r>
          </w:p>
        </w:tc>
        <w:tc>
          <w:tcPr>
            <w:tcW w:w="40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22525" cy="603885"/>
                  <wp:effectExtent l="0" t="0" r="15875" b="5715"/>
                  <wp:docPr id="6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25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第一次在左侧杆段叠加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（均布荷载正向叠加</w:t>
            </w:r>
            <w:r>
              <w:rPr>
                <w:rFonts w:hint="eastAsia"/>
                <w:lang w:val="en-US" w:eastAsia="zh-CN"/>
              </w:rPr>
              <w:t>4.5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40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45385" cy="615950"/>
                  <wp:effectExtent l="0" t="0" r="12065" b="12700"/>
                  <wp:docPr id="6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</w:trPr>
        <w:tc>
          <w:tcPr>
            <w:tcW w:w="25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第二次在右侧杆段叠加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（集中力正向叠加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405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楷体" w:hAnsi="楷体" w:eastAsia="楷体" w:cs="楷体"/>
                <w:b/>
                <w:bCs/>
                <w:color w:val="0000FF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40305" cy="612140"/>
                  <wp:effectExtent l="0" t="0" r="17145" b="16510"/>
                  <wp:docPr id="6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0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eastAsia" w:ascii="楷体" w:hAnsi="楷体" w:eastAsia="楷体" w:cs="楷体"/>
          <w:b/>
          <w:bCs/>
          <w:color w:val="0000FF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【说明】如果结构被判定为结点荷载作用下理想桁架，控制截面轴力皆为常数，输入时，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桁杆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只需要输入一个轴力值，无需输入始末端值。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【说明】操作过程中，可使用键盘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ESC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，中断当前操作。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headerReference r:id="rId21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767" w:space="425"/>
            <w:col w:w="6766"/>
          </w:cols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作业报告以RTF文档格式保存于程序目录下，文件名固定为“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内力图绘制###.RTF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”，###为顺序号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指定截面内力、指定支座反力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交互作业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以三铰拱计算为例说明。题库中两个作业题使用了变参模式定义，用户</w:t>
      </w:r>
      <w:r>
        <w:rPr>
          <w:rFonts w:hint="eastAsia"/>
          <w:b/>
          <w:bCs/>
          <w:color w:val="0000FF"/>
          <w:lang w:val="en-US" w:eastAsia="zh-CN"/>
        </w:rPr>
        <w:t>每一次</w:t>
      </w:r>
      <w:r>
        <w:rPr>
          <w:rFonts w:hint="eastAsia"/>
          <w:lang w:val="en-US" w:eastAsia="zh-CN"/>
        </w:rPr>
        <w:t>打开模型，均会得到参数各异的模型。因此，在计算时不能关闭后重新打开模型，否则，当前的计算结果不能适用于参数变化后。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下图所示为两次打开同一模型时，不同的结构参数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17065" cy="1035685"/>
            <wp:effectExtent l="0" t="0" r="0" b="0"/>
            <wp:docPr id="85" name="图片 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1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86585" cy="866140"/>
            <wp:effectExtent l="0" t="0" r="0" b="0"/>
            <wp:docPr id="86" name="图片 8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2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题干要求，可以是指定截面内力计算（轴、剪、弯）、指定反力计算。用户点击按要求点击开始“计算支反力”、“计算截面力”。指定计算时，不涉及过程图形绘制要求，用户根据计算结果，直接输入结果值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集中力作用位置要求计算轴、剪力时，由于此截面轴、剪力无意义，系统会将指定截面略左移，即要求计算</w:t>
      </w:r>
      <w:r>
        <w:rPr>
          <w:rFonts w:hint="eastAsia"/>
          <w:b/>
          <w:bCs/>
          <w:color w:val="FF0000"/>
          <w:lang w:val="en-US" w:eastAsia="zh-CN"/>
        </w:rPr>
        <w:t>截面左</w:t>
      </w:r>
      <w:r>
        <w:rPr>
          <w:rFonts w:hint="eastAsia"/>
          <w:lang w:val="en-US" w:eastAsia="zh-CN"/>
        </w:rPr>
        <w:t>内力值。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【说明】系统中，对用户输入的数值（小数型），有效数位需要保留四位，第四位可四舍五入</w:t>
      </w:r>
      <w:r>
        <w:rPr>
          <w:rFonts w:hint="eastAsia"/>
          <w:lang w:val="en-US" w:eastAsia="zh-CN"/>
        </w:rPr>
        <w:t>。如</w:t>
      </w:r>
      <w:r>
        <w:rPr>
          <w:rFonts w:hint="eastAsia"/>
          <w:b/>
          <w:bCs/>
          <w:lang w:val="en-US" w:eastAsia="zh-CN"/>
        </w:rPr>
        <w:t>1234</w:t>
      </w:r>
      <w:r>
        <w:rPr>
          <w:rFonts w:hint="eastAsia"/>
          <w:lang w:val="en-US" w:eastAsia="zh-CN"/>
        </w:rPr>
        <w:t>000，</w:t>
      </w:r>
      <w:r>
        <w:rPr>
          <w:rFonts w:hint="eastAsia"/>
          <w:b/>
          <w:bCs/>
          <w:lang w:val="en-US" w:eastAsia="zh-CN"/>
        </w:rPr>
        <w:t>123.4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lang w:val="en-US" w:eastAsia="zh-CN"/>
        </w:rPr>
        <w:t>1.234</w:t>
      </w:r>
      <w:r>
        <w:rPr>
          <w:rFonts w:hint="eastAsia"/>
          <w:lang w:val="en-US" w:eastAsia="zh-CN"/>
        </w:rPr>
        <w:t>，0.00</w:t>
      </w:r>
      <w:r>
        <w:rPr>
          <w:rFonts w:hint="eastAsia"/>
          <w:b/>
          <w:bCs/>
          <w:lang w:val="en-US" w:eastAsia="zh-CN"/>
        </w:rPr>
        <w:t>1234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铰拱中，如果涉及内力计算，系统会给出拱轴曲线函数（考虑计算工作量，三铰拱拱轴曲线只以抛物线形式出现）。拱轴曲线函数已经调整为与国内现行教材一致的描述方式：水平向右为正，竖直向上为正。系统模型显示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4228465" cy="1862455"/>
            <wp:effectExtent l="0" t="0" r="635" b="444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64"/>
                    <a:srcRect r="1538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eastAsiaTheme="minorEastAsia"/>
          <w:lang w:val="en-US" w:eastAsia="zh-CN"/>
        </w:rPr>
        <w:sectPr>
          <w:headerReference r:id="rId22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 w:sep="1">
            <w:col w:w="6767" w:space="425"/>
            <w:col w:w="6766"/>
          </w:cols>
          <w:docGrid w:type="lines" w:linePitch="312" w:charSpace="0"/>
        </w:sectPr>
      </w:pPr>
      <w:r>
        <w:rPr>
          <w:rFonts w:hint="eastAsia"/>
          <w:lang w:eastAsia="zh-CN"/>
        </w:rPr>
        <w:t>静定梁、刚架、桁架</w:t>
      </w:r>
      <w:r>
        <w:rPr>
          <w:rFonts w:hint="eastAsia"/>
          <w:lang w:val="en-US" w:eastAsia="zh-CN"/>
        </w:rPr>
        <w:t>的填空题形式</w:t>
      </w:r>
      <w:r>
        <w:rPr>
          <w:rFonts w:hint="eastAsia"/>
          <w:lang w:eastAsia="zh-CN"/>
        </w:rPr>
        <w:t>，交互作业方法亦与三铰拱同。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图乘法计算位移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（仅用于弯曲变形的梁、刚架）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静定结构计算总则：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说明】以下步骤并未限制位移计算实现具体方式，目前也暂未考虑对交互作业进行图乘法过程检测，不要求学生输入计算过程。尽管取名为图乘法计算位移，但其实质为单位荷载法下的位移计算，故也可用于积分法的计算。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1444" w:leftChars="396" w:hanging="612" w:hangingChars="25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根据所求位移施加单位力，水平、竖向、转动（相对转动）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绘制荷载弯矩图；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绘制单位弯矩图；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图乘计算，输入结果并提交。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根据以上原则，交互操作也分为以上四个步骤。以下结合示例进行操作说明。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24"/>
          <w:lang w:val="en-US" w:eastAsia="zh-CN"/>
        </w:rPr>
        <w:t>各参数的符号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B0F0"/>
          <w:sz w:val="24"/>
          <w:szCs w:val="24"/>
          <w:lang w:val="en-US" w:eastAsia="zh-CN"/>
        </w:rPr>
        <w:t>EI、qFlat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24"/>
          <w:lang w:val="en-US" w:eastAsia="zh-CN"/>
        </w:rPr>
        <w:t>等，在所有步骤均无需输入，在各输入框的后方会自带符号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点击题目后，系统显示计算简图，左侧树节点中点击“</w:t>
      </w:r>
      <w:r>
        <w:rPr>
          <w:rFonts w:hint="eastAsia" w:ascii="宋体" w:hAnsi="宋体" w:eastAsia="宋体" w:cs="宋体"/>
          <w:b/>
          <w:bCs/>
          <w:color w:val="00B0F0"/>
          <w:sz w:val="24"/>
          <w:szCs w:val="24"/>
          <w:lang w:val="en-US" w:eastAsia="zh-CN"/>
        </w:rPr>
        <w:t>图乘法计算位移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”，系统将显示计算要求，并出现进一步的分析选项。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124200" cy="1398905"/>
            <wp:effectExtent l="0" t="0" r="0" b="10795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点击荷载弯矩绘制，按内力交互绘制的方式，绘制完成荷载作用下弯矩图，在右侧操作区，双击鼠标左键，完成内力图提交。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center"/>
        <w:textAlignment w:val="auto"/>
      </w:pPr>
      <w:r>
        <w:drawing>
          <wp:inline distT="0" distB="0" distL="114300" distR="114300">
            <wp:extent cx="2842260" cy="799465"/>
            <wp:effectExtent l="0" t="0" r="15240" b="63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66"/>
                    <a:srcRect r="18182" b="5453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点击单位弯矩绘制。在本步中，需要根据题干要求，按</w:t>
      </w:r>
      <w:r>
        <w:rPr>
          <w:rFonts w:hint="eastAsia"/>
          <w:b/>
          <w:bCs/>
          <w:color w:val="0000FF"/>
          <w:sz w:val="24"/>
          <w:szCs w:val="32"/>
          <w:lang w:eastAsia="zh-CN"/>
        </w:rPr>
        <w:t>单位荷载法的原则</w:t>
      </w:r>
      <w:r>
        <w:rPr>
          <w:rFonts w:hint="eastAsia"/>
          <w:sz w:val="24"/>
          <w:szCs w:val="32"/>
          <w:lang w:eastAsia="zh-CN"/>
        </w:rPr>
        <w:t>，施加单位力。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eastAsia="zh-CN"/>
        </w:rPr>
        <w:t>点击“单位弯矩绘制”后，右侧操作区，系统</w:t>
      </w:r>
      <w:r>
        <w:rPr>
          <w:rFonts w:hint="eastAsia"/>
          <w:sz w:val="24"/>
          <w:szCs w:val="32"/>
          <w:lang w:val="en-US" w:eastAsia="zh-CN"/>
        </w:rPr>
        <w:t>给出</w:t>
      </w:r>
      <w:r>
        <w:rPr>
          <w:rFonts w:hint="eastAsia"/>
          <w:sz w:val="24"/>
          <w:szCs w:val="32"/>
          <w:lang w:eastAsia="zh-CN"/>
        </w:rPr>
        <w:t>模型图，并在操作区下方，出现“单位力作用对象”，有“结点”、“单元”选择，用户应根据题干要求，点选其中一项。对示例，要求计算结点</w:t>
      </w:r>
      <w:r>
        <w:rPr>
          <w:rFonts w:hint="eastAsia"/>
          <w:i/>
          <w:iCs/>
          <w:sz w:val="24"/>
          <w:szCs w:val="32"/>
          <w:lang w:val="en-US" w:eastAsia="zh-CN"/>
        </w:rPr>
        <w:t>B</w:t>
      </w:r>
      <w:r>
        <w:rPr>
          <w:rFonts w:hint="eastAsia"/>
          <w:sz w:val="24"/>
          <w:szCs w:val="32"/>
          <w:lang w:val="en-US" w:eastAsia="zh-CN"/>
        </w:rPr>
        <w:t>位移，可选择“结点”（亦可选择单元，在单元中对截面定位时，定位截面需要定位至末端，即指示到正确的位置即可）。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line="240" w:lineRule="auto"/>
        <w:ind w:left="839" w:leftChars="0"/>
        <w:jc w:val="center"/>
        <w:textAlignment w:val="auto"/>
        <w:rPr>
          <w:sz w:val="24"/>
          <w:szCs w:val="32"/>
        </w:rPr>
      </w:pPr>
      <w:r>
        <w:rPr>
          <w:sz w:val="24"/>
          <w:szCs w:val="32"/>
        </w:rPr>
        <w:drawing>
          <wp:inline distT="0" distB="0" distL="114300" distR="114300">
            <wp:extent cx="2431415" cy="321945"/>
            <wp:effectExtent l="0" t="0" r="6985" b="1905"/>
            <wp:docPr id="7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"/>
                    <pic:cNvPicPr>
                      <a:picLocks noChangeAspect="1"/>
                    </pic:cNvPicPr>
                  </pic:nvPicPr>
                  <pic:blipFill>
                    <a:blip r:embed="rId167"/>
                    <a:srcRect l="26903" t="44632" r="51788" b="50356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Lines="0" w:after="157" w:afterLines="50" w:line="240" w:lineRule="auto"/>
        <w:ind w:left="840" w:leftChars="0"/>
        <w:jc w:val="center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sz w:val="24"/>
          <w:szCs w:val="32"/>
        </w:rPr>
        <w:drawing>
          <wp:inline distT="0" distB="0" distL="114300" distR="114300">
            <wp:extent cx="2432050" cy="443230"/>
            <wp:effectExtent l="0" t="0" r="6350" b="13970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167"/>
                    <a:srcRect l="26903" t="62543" r="51788" b="30572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选结点后，再移动鼠标至对应的结点上，单击鼠标左键选中。根据计算位移的方向，选择“水平”“竖向”“转动”确定自由度方向，单击OK按键确认，可完成第一个单位力的作用。如果要求计算相对位移，还需要施加另一个单位力，继续按上述步骤施加既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单位力施加完毕后，选择“结束输入”，系统显示单位力状态，用户在此图上继续进行单位弯矩图的绘制。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</w:pPr>
      <w:r>
        <w:drawing>
          <wp:inline distT="0" distB="0" distL="114300" distR="114300">
            <wp:extent cx="2759710" cy="1678305"/>
            <wp:effectExtent l="0" t="0" r="2540" b="17145"/>
            <wp:docPr id="7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根据内力图交互绘制的方式，完成单位弯矩图，双击提交，此时过程显示区如下图所示。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sz w:val="24"/>
          <w:szCs w:val="32"/>
          <w:lang w:eastAsia="zh-CN"/>
        </w:rPr>
      </w:pPr>
      <w:r>
        <w:rPr>
          <w:sz w:val="24"/>
          <w:szCs w:val="32"/>
        </w:rPr>
        <w:drawing>
          <wp:inline distT="0" distB="0" distL="114300" distR="114300">
            <wp:extent cx="3672205" cy="2344420"/>
            <wp:effectExtent l="0" t="0" r="4445" b="17780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0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根据图乘法计算位移，并填入结果文本框并提交。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超静定结构位移计算：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单位力可以表示在原模型的任一平衡状态中。其余与静定结构计算同。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荷载弯矩图需要用户使用超静定结构相应计算方法获取。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系统判断当前结构为超静定结构时，会给用户提供单位力作用状态的更多选择，即，可在当前结构中任意去除用户认定的多余约束，并在其上施加对应的单位力，过程中不作任何限制。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用户根据自己的判断实施相应操作。去除多余约束的方式与几何组成分析中的交互操作类似。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166110" cy="2132330"/>
            <wp:effectExtent l="0" t="0" r="15240" b="1270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23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计算位移-静定结构支移作用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计算总则：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根据所求位移施加单位力；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计算支移处支反力；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计算，输入结果并提交。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根据以上原则，交互操作为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点击“支移下计算位移”，左侧树节点扩展出相应的操作项，中间过程窗口出现相应的题干和简图。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</w:pPr>
      <w:r>
        <w:drawing>
          <wp:inline distT="0" distB="0" distL="114300" distR="114300">
            <wp:extent cx="3176270" cy="1579245"/>
            <wp:effectExtent l="0" t="0" r="5080" b="1905"/>
            <wp:docPr id="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点击“单位荷载施加”，根据所要求计算截面、结点作用单位力，操作步骤同图乘法。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center"/>
        <w:textAlignment w:val="auto"/>
      </w:pPr>
      <w:r>
        <w:drawing>
          <wp:inline distT="0" distB="0" distL="114300" distR="114300">
            <wp:extent cx="2209800" cy="1462405"/>
            <wp:effectExtent l="0" t="0" r="0" b="4445"/>
            <wp:docPr id="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"/>
                    <pic:cNvPicPr>
                      <a:picLocks noChangeAspect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点击支座反力计算，计算单位力状态下所需支反力。系统作以下提示：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center"/>
        <w:textAlignment w:val="auto"/>
      </w:pPr>
      <w:r>
        <w:drawing>
          <wp:inline distT="0" distB="0" distL="114300" distR="114300">
            <wp:extent cx="1943100" cy="537210"/>
            <wp:effectExtent l="0" t="0" r="0" b="15240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用户可以任意点击支座，任意按自己需要输入。输入完毕后，系统标示出用户输入的支座反力（</w:t>
      </w:r>
      <w:r>
        <w:rPr>
          <w:rFonts w:hint="eastAsia"/>
          <w:sz w:val="24"/>
          <w:szCs w:val="32"/>
          <w:lang w:val="en-US" w:eastAsia="zh-CN"/>
        </w:rPr>
        <w:t>0值不显示</w:t>
      </w:r>
      <w:r>
        <w:rPr>
          <w:rFonts w:hint="eastAsia"/>
          <w:sz w:val="24"/>
          <w:szCs w:val="32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center"/>
        <w:textAlignment w:val="auto"/>
      </w:pPr>
      <w:r>
        <w:drawing>
          <wp:inline distT="0" distB="0" distL="114300" distR="114300">
            <wp:extent cx="1743710" cy="1050290"/>
            <wp:effectExtent l="0" t="0" r="8890" b="16510"/>
            <wp:docPr id="7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计算位移并提交。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  <w:sectPr>
          <w:headerReference r:id="rId24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计算位移-静定结构温变作用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计算总则（考虑温变下的轴向变形和弯曲变形）：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根据所求位移施加单位力；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计算单位弯矩图、计算单位轴力图；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计算，输入结果并提交。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根据以上原则，交互操作为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温变下计算位移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”，左侧树节点扩展出相应的操作项，中间过程窗口出现相应的题干和简图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</w:pPr>
      <w:r>
        <w:drawing>
          <wp:inline distT="0" distB="0" distL="114300" distR="114300">
            <wp:extent cx="2875280" cy="2178050"/>
            <wp:effectExtent l="0" t="0" r="1270" b="1270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0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b/>
          <w:bCs/>
          <w:color w:val="0000FF"/>
          <w:lang w:eastAsia="zh-CN"/>
        </w:rPr>
        <w:t>单位荷载施加</w:t>
      </w:r>
      <w:r>
        <w:rPr>
          <w:rFonts w:hint="eastAsia"/>
          <w:lang w:eastAsia="zh-CN"/>
        </w:rPr>
        <w:t>，施加单位力状态；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b/>
          <w:bCs/>
          <w:color w:val="0000FF"/>
          <w:lang w:eastAsia="zh-CN"/>
        </w:rPr>
        <w:t>单位状态轴力图</w:t>
      </w:r>
      <w:r>
        <w:rPr>
          <w:rFonts w:hint="eastAsia"/>
          <w:lang w:eastAsia="zh-CN"/>
        </w:rPr>
        <w:t>，交互绘制单位力作用下轴力图；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b/>
          <w:bCs/>
          <w:color w:val="0000FF"/>
          <w:lang w:eastAsia="zh-CN"/>
        </w:rPr>
        <w:t>单位状态弯矩图</w:t>
      </w:r>
      <w:r>
        <w:rPr>
          <w:rFonts w:hint="eastAsia"/>
          <w:lang w:eastAsia="zh-CN"/>
        </w:rPr>
        <w:t>，交互绘制单位力作用下弯矩图。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计算位移并提交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25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力法交互作业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力法计算步骤：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判断未知量数目；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交互建立力法基本结构；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交互建立各单元力作用状态，并绘制。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计算系数、自由项，代入力法方程，计算出未知量。（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当前版本，系数计算步骤未纳入交互过程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根据叠加原理绘制最终内力图。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以图示一次超静定结构的力法分析为例。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876425" cy="700405"/>
            <wp:effectExtent l="0" t="0" r="0" b="4445"/>
            <wp:docPr id="92" name="图片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1"/>
                    <pic:cNvPicPr>
                      <a:picLocks noChangeAspect="1"/>
                    </pic:cNvPicPr>
                  </pic:nvPicPr>
                  <pic:blipFill>
                    <a:blip r:embed="rId176"/>
                    <a:srcRect b="128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力法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”-力法未知量数目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弹出“力法计算时超静定次数”输入对话框，输入正整数值并“确定”。中间过程窗显示计算简图，功能树根据用户输入超静定次数n，出现“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基本结构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”~“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”及“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”等节点。必须先执行“基本结构”。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735" w:firstLineChars="35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384300" cy="579755"/>
            <wp:effectExtent l="0" t="0" r="6350" b="10795"/>
            <wp:docPr id="9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46735" cy="593725"/>
            <wp:effectExtent l="0" t="0" r="5715" b="15875"/>
            <wp:docPr id="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基本结构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在右侧操作区执行去除多余约束。目前提供“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杆端变铰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解除支座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”两种方式。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多余约束去除后，点击“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确定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”，过程区显示所选择的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力法基本结构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735" w:firstLineChars="350"/>
        <w:jc w:val="left"/>
        <w:textAlignment w:val="auto"/>
      </w:pPr>
      <w:r>
        <w:drawing>
          <wp:inline distT="0" distB="0" distL="114300" distR="114300">
            <wp:extent cx="3189605" cy="850900"/>
            <wp:effectExtent l="0" t="0" r="10795" b="6350"/>
            <wp:docPr id="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0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绘内力图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基本结构完成后，在基本结构上绘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i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”各图时可无视顺序。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i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”节点，</w:t>
      </w:r>
      <w:r>
        <w:rPr>
          <w:rFonts w:hint="eastAsia"/>
          <w:sz w:val="24"/>
          <w:szCs w:val="24"/>
          <w:lang w:val="en-US" w:eastAsia="zh-CN"/>
        </w:rPr>
        <w:t>交互作用单位力，并绘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1</w:t>
      </w:r>
      <w:r>
        <w:rPr>
          <w:rFonts w:hint="eastAsia"/>
          <w:sz w:val="24"/>
          <w:szCs w:val="24"/>
          <w:lang w:val="en-US" w:eastAsia="zh-CN"/>
        </w:rPr>
        <w:t>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”节点</w:t>
      </w:r>
      <w:r>
        <w:rPr>
          <w:rFonts w:hint="eastAsia"/>
          <w:sz w:val="24"/>
          <w:szCs w:val="24"/>
          <w:lang w:val="en-US" w:eastAsia="zh-CN"/>
        </w:rPr>
        <w:t>根据外荷载作用，交互绘制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/>
          <w:sz w:val="24"/>
          <w:szCs w:val="24"/>
          <w:lang w:val="en-US" w:eastAsia="zh-CN"/>
        </w:rPr>
        <w:t>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此时需要用户自行计算系数、自由项、解出未知量。</w:t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根据叠加结果，交互绘制最终弯矩图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【说明】绘各类弯矩图时，若已点击了绘图节点，则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无论是重绘还是修改，仍需要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再次双击提交图形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若结构曾进行过简化，则还应绘制总弯矩图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系统进行智能评阅。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051300" cy="1708150"/>
            <wp:effectExtent l="0" t="0" r="6350" b="6350"/>
            <wp:docPr id="9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2"/>
                    <pic:cNvPicPr>
                      <a:picLocks noChangeAspect="1"/>
                    </pic:cNvPicPr>
                  </pic:nvPicPr>
                  <pic:blipFill>
                    <a:blip r:embed="rId180"/>
                    <a:srcRect l="3551" t="5500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以上过程为荷载作用下的力法计算，若题目为支移模式，则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/>
          <w:b/>
          <w:bCs/>
          <w:sz w:val="24"/>
          <w:szCs w:val="24"/>
          <w:lang w:val="en-US" w:eastAsia="zh-CN"/>
        </w:rPr>
        <w:t>绘制处，更改为输入自由项。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sectPr>
          <w:headerReference r:id="rId26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位移法交互作业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位移计算步骤：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判断未知量数目；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交互建立位移法基本结构；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交互建立各单位结点位移作用状态，并绘制。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计算系数、自由项，代入位移法方程，计算未知量。（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本版本中，系数计算步骤未纳入交互过程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3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根据叠加原理绘制最终内力图。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位移法计算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”-位移法未知量数目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左侧功能树下方，出现“位移法计算时自由度选择”对应的输入框。用户输入数目（正整数值），点击“确定”。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中间过程窗显示出当前结构计算模型，左侧功能树根据用户选择的位移法次数n，扩展出现“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形成基本结构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_1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~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_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n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_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”及“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_</w:t>
      </w:r>
      <w:r>
        <w:rPr>
          <w:rFonts w:hint="default" w:ascii="Times New Roman" w:hAnsi="Times New Roman" w:eastAsia="宋体" w:cs="Times New Roman"/>
          <w:b/>
          <w:bCs/>
          <w:color w:val="0070C0"/>
          <w:sz w:val="24"/>
          <w:szCs w:val="24"/>
          <w:vertAlign w:val="subscript"/>
          <w:lang w:val="en-US" w:eastAsia="zh-CN"/>
        </w:rPr>
        <w:t>M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”等节点。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说明】位移法基本结构仍可能有多种选择，因目前判分模式，把基本未知量与基本结构作为独立的评分步骤，若基本未知量存在多种可能时，不易识别此步是否给分。故目前版本的系统，仍以使用衍生单元（最少未知量模式）作为标准答案。学生有足够概念认识时，可按多种模式进行操作（批阅会显示错误）。后续版本再作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此设定只影响未知量数目，不影响存在无限刚杆时，用户取角位移，或耦合线位移时系统的判别正确性。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形成基本结构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在右侧操作区所示原始模型上，执行“在结点位移法添加附加约束，形成基本结构”的操作。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提供了三种添加附加约束的方式。添加完成后，点击“确定”，过程区第二个窗口显示所提交的位移法基本结构。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737360" cy="607695"/>
            <wp:effectExtent l="0" t="0" r="15240" b="1905"/>
            <wp:docPr id="10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5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1651635" cy="1056005"/>
            <wp:effectExtent l="0" t="0" r="5715" b="10795"/>
            <wp:docPr id="1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6"/>
                    <pic:cNvPicPr>
                      <a:picLocks noChangeAspect="1"/>
                    </pic:cNvPicPr>
                  </pic:nvPicPr>
                  <pic:blipFill>
                    <a:blip r:embed="rId182"/>
                    <a:srcRect l="20988" t="10893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绘内力图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基本结构完成后，在基本结构上绘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i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”、“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”各图时可无视顺序。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vertAlign w:val="subscript"/>
          <w:lang w:val="en-US" w:eastAsia="zh-CN"/>
        </w:rPr>
        <w:t>i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”节点，</w:t>
      </w:r>
      <w:r>
        <w:rPr>
          <w:rFonts w:hint="eastAsia"/>
          <w:sz w:val="24"/>
          <w:szCs w:val="24"/>
          <w:lang w:val="en-US" w:eastAsia="zh-CN"/>
        </w:rPr>
        <w:t>系统根据用户基本结构的设定，自动附加单位结点位移，交互绘</w:t>
      </w:r>
      <w:r>
        <w:rPr>
          <w:rFonts w:hint="default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vertAlign w:val="subscript"/>
          <w:lang w:val="en-US" w:eastAsia="zh-CN"/>
        </w:rPr>
        <w:t>1</w:t>
      </w:r>
      <w:r>
        <w:rPr>
          <w:rFonts w:hint="eastAsia"/>
          <w:sz w:val="24"/>
          <w:szCs w:val="24"/>
          <w:lang w:val="en-US" w:eastAsia="zh-CN"/>
        </w:rPr>
        <w:t>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”节点</w:t>
      </w:r>
      <w:r>
        <w:rPr>
          <w:rFonts w:hint="eastAsia"/>
          <w:sz w:val="24"/>
          <w:szCs w:val="24"/>
          <w:lang w:val="en-US" w:eastAsia="zh-CN"/>
        </w:rPr>
        <w:t>根据外荷载作用，交互绘制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/>
          <w:sz w:val="24"/>
          <w:szCs w:val="24"/>
          <w:lang w:val="en-US" w:eastAsia="zh-CN"/>
        </w:rPr>
        <w:t>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此时需要用户自行计算系数、自由项、解出未知量。某些结构外荷载较为特殊，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olor w:val="0070C0"/>
          <w:sz w:val="24"/>
          <w:szCs w:val="24"/>
          <w:vertAlign w:val="subscript"/>
          <w:lang w:val="en-US" w:eastAsia="zh-CN"/>
        </w:rPr>
        <w:t>P</w:t>
      </w:r>
      <w:r>
        <w:rPr>
          <w:rFonts w:hint="eastAsia"/>
          <w:sz w:val="24"/>
          <w:szCs w:val="24"/>
          <w:lang w:val="en-US" w:eastAsia="zh-CN"/>
        </w:rPr>
        <w:t>图为零时，无须绘制可直接提交。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此时需要用户自行计算系数、自由项、解出未知量。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根据叠加结果，交互绘制最终弯矩图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【说明】绘各类弯矩图时，若已点击了绘图节点，则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无论是重绘还是修改，仍需要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再次双击提交图形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若结构曾进行过简化，则还应绘制总弯矩图</w:t>
      </w:r>
      <w:r>
        <w:rPr>
          <w:rFonts w:hint="eastAsia" w:ascii="Times New Roman" w:hAnsi="Times New Roman" w:eastAsia="宋体" w:cs="Times New Roman"/>
          <w:b/>
          <w:bCs/>
          <w:i/>
          <w:iCs/>
          <w:color w:val="0070C0"/>
          <w:sz w:val="24"/>
          <w:szCs w:val="24"/>
          <w:lang w:val="en-US" w:eastAsia="zh-CN"/>
        </w:rPr>
        <w:t>M</w:t>
      </w:r>
      <w:r>
        <w:rPr>
          <w:rFonts w:hint="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left"/>
        <w:textAlignment w:val="auto"/>
        <w:sectPr>
          <w:headerReference r:id="rId27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  <w:r>
        <w:drawing>
          <wp:inline distT="0" distB="0" distL="114300" distR="114300">
            <wp:extent cx="4013200" cy="1838325"/>
            <wp:effectExtent l="9525" t="9525" r="15875" b="19050"/>
            <wp:docPr id="10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7"/>
                    <pic:cNvPicPr>
                      <a:picLocks noChangeAspect="1"/>
                    </pic:cNvPicPr>
                  </pic:nvPicPr>
                  <pic:blipFill>
                    <a:blip r:embed="rId183"/>
                    <a:srcRect l="7550" t="4983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838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sectPr>
          <w:headerReference r:id="rId28" w:type="default"/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力矩分配法交互作业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以图示结构的力矩分配法为例。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16225" cy="1608455"/>
            <wp:effectExtent l="9525" t="9525" r="12700" b="2032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184"/>
                    <a:srcRect l="4414" t="7246" r="2942" b="5866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60845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力矩分配法计算步骤：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输入待分配结点数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112520" cy="406400"/>
            <wp:effectExtent l="9525" t="9525" r="20955" b="2222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185"/>
                    <a:srcRect l="3289" r="24671" b="9859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0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4335" cy="1064895"/>
            <wp:effectExtent l="9525" t="9525" r="27940" b="11430"/>
            <wp:docPr id="1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064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未知角位移处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增设附加刚臂，形成力矩分配法基本结构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left="0" w:leftChars="0" w:firstLine="641" w:firstLineChars="266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未知量数目仍同位移法设定，目前系统评阅正误，是考虑引入衍生单元、使用最少未知量。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  <w:rPr>
          <w:rFonts w:hint="default"/>
          <w:lang w:val="en-US" w:eastAsia="zh-CN"/>
        </w:rPr>
      </w:pPr>
      <w:r>
        <w:drawing>
          <wp:inline distT="0" distB="0" distL="114300" distR="114300">
            <wp:extent cx="1384935" cy="1188720"/>
            <wp:effectExtent l="9525" t="9525" r="15240" b="20955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0495" cy="1383030"/>
            <wp:effectExtent l="9525" t="9525" r="24130" b="1714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383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交互绘制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em w:val="dot"/>
          <w:lang w:val="en-US" w:eastAsia="zh-CN"/>
        </w:rPr>
        <w:t>单元荷载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作用下的荷载弯矩图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  <w:rPr>
          <w:rFonts w:hint="default"/>
          <w:lang w:val="en-US" w:eastAsia="zh-CN"/>
        </w:rPr>
      </w:pPr>
      <w:r>
        <w:drawing>
          <wp:inline distT="0" distB="0" distL="114300" distR="114300">
            <wp:extent cx="1361440" cy="1165860"/>
            <wp:effectExtent l="9525" t="9525" r="19685" b="24765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165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6370" cy="1391920"/>
            <wp:effectExtent l="9525" t="9525" r="27305" b="27305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39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计算并交互输入各结点不平衡力矩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  <w:rPr>
          <w:rFonts w:hint="eastAsia"/>
          <w:lang w:val="en-US" w:eastAsia="zh-CN"/>
        </w:rPr>
      </w:pPr>
      <w:r>
        <w:drawing>
          <wp:inline distT="0" distB="0" distL="114300" distR="114300">
            <wp:extent cx="1369060" cy="1217295"/>
            <wp:effectExtent l="9525" t="9525" r="12065" b="11430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217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3515" cy="1390650"/>
            <wp:effectExtent l="9525" t="9525" r="10160" b="9525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390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计算并逐杆交互输入各结点的分配、传递系数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</w:pPr>
      <w:r>
        <w:drawing>
          <wp:inline distT="0" distB="0" distL="114300" distR="114300">
            <wp:extent cx="1324610" cy="1183005"/>
            <wp:effectExtent l="9525" t="9525" r="18415" b="26670"/>
            <wp:docPr id="1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6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8595" cy="1363345"/>
            <wp:effectExtent l="9525" t="9525" r="24130" b="1778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363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执行分配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  <w:rPr>
          <w:rFonts w:hint="eastAsia"/>
          <w:lang w:val="en-US" w:eastAsia="zh-CN"/>
        </w:rPr>
      </w:pPr>
      <w:r>
        <w:drawing>
          <wp:inline distT="0" distB="0" distL="114300" distR="114300">
            <wp:extent cx="1329690" cy="1152525"/>
            <wp:effectExtent l="9525" t="9525" r="13335" b="1905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3835" cy="1393190"/>
            <wp:effectExtent l="9525" t="9525" r="27940" b="26035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393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叠加绘图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240" w:lineRule="auto"/>
        <w:jc w:val="left"/>
        <w:textAlignment w:val="top"/>
      </w:pPr>
      <w:r>
        <w:drawing>
          <wp:inline distT="0" distB="0" distL="114300" distR="114300">
            <wp:extent cx="1323340" cy="1156970"/>
            <wp:effectExtent l="9525" t="9525" r="19685" b="14605"/>
            <wp:docPr id="1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0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1569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0185" cy="1399540"/>
            <wp:effectExtent l="9525" t="9525" r="21590" b="19685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39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【说明】第5步中，输入各结点的分配、传递系数时，在完成某结点输入后，需在操作区空白处，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em w:val="dot"/>
          <w:lang w:val="en-US" w:eastAsia="zh-CN"/>
        </w:rPr>
        <w:t>单击“鼠标右键”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，结束本结点操作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。方可进入下一结点选择，或双击完成本步。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【说明】第6步中分配时，用户“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鼠标左键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”点击有不平衡力矩的结点时，将会执行分配并传递至所有对应杆件远端；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在不平衡力较小时，用户可“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鼠标右键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”点击结点，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此时执行分配后，不会往其它待分配结点传递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，但仍可往支座端传递。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【说明】多结点力矩分配存在“传递来的不平衡力矩”，有结点永远处于不平衡状态，有限次分配传递下，最终弯矩图在结点处仍明显不平衡。右键操作可让最后弯矩图形效果更好一些。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此操作不影响最后评阅，即，用户未“右键单击”强制令所有结点平衡，各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杆端弯矩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值与真解误差只须小于5%，仍会判定正确。（常规情况下三轮分配、传递即可保证，力矩分配法作为近似法，系统对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结果精度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要求较低，但分配系数、传递系数、固端弯矩的精度检测仍同前：须4位有效数字）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【说明】分配和传递过程由用户主导，但具体分配计算和传递计算，涉及数据多，输入操作明显过于繁琐，故目前系统设计分配传递为自动计算。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结果弯矩来自固端弯矩、分配弯矩、传递弯矩之和，暂为自动计算。分配传递完成双击操作区，系统自动叠加，并于各杆端显示最终弯矩值。多向杆交汇处数值易重叠，绘弯矩图时，系统辅助功能会实时独立显示选中杆件的杆端弯矩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eastAsia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分析</w:t>
      </w:r>
      <w:r>
        <w:rPr>
          <w:rFonts w:hint="eastAsia" w:ascii="微软雅黑" w:hAnsi="微软雅黑" w:eastAsia="微软雅黑" w:cs="微软雅黑"/>
          <w:b/>
          <w:bCs/>
          <w:color w:val="0000FF"/>
          <w:sz w:val="40"/>
          <w:szCs w:val="40"/>
          <w:lang w:val="en-US" w:eastAsia="zh-CN"/>
        </w:rPr>
        <w:t>“前”简化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440" w:lineRule="exact"/>
        <w:ind w:left="0" w:leftChars="0" w:firstLine="0" w:firstLineChars="0"/>
        <w:jc w:val="center"/>
        <w:textAlignment w:val="center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结构分析对结构的简化，不仅是形成计算简图时的一次性工作。分析过程中，可随时根据结构特征、计算方法和响应需求，继续合理简化。</w:t>
      </w:r>
    </w:p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default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在工程力学学习时，对某些结构，使用指定计算方法分析前，有必要相应简化。主要包括以下3类。</w:t>
      </w:r>
    </w:p>
    <w:tbl>
      <w:tblPr>
        <w:tblStyle w:val="9"/>
        <w:tblW w:w="66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13" w:type="dxa"/>
          <w:bottom w:w="0" w:type="dxa"/>
          <w:right w:w="113" w:type="dxa"/>
        </w:tblCellMar>
      </w:tblPr>
      <w:tblGrid>
        <w:gridCol w:w="3508"/>
        <w:gridCol w:w="2520"/>
        <w:gridCol w:w="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jc w:val="center"/>
        </w:trPr>
        <w:tc>
          <w:tcPr>
            <w:tcW w:w="35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1.若不简化，无法按指定方法分析。右图体系，要求按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2"/>
                <w:szCs w:val="22"/>
                <w:lang w:val="en-US" w:eastAsia="zh-CN"/>
              </w:rPr>
              <w:t>力矩分配法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计算，但显然其</w:t>
            </w:r>
            <w:r>
              <w:rPr>
                <w:rFonts w:hint="eastAsia" w:eastAsia="宋体" w:cs="Times New Roman"/>
                <w:b/>
                <w:bCs/>
                <w:i/>
                <w:iCs/>
                <w:sz w:val="22"/>
                <w:szCs w:val="22"/>
                <w:lang w:val="en-US" w:eastAsia="zh-CN"/>
              </w:rPr>
              <w:t>AB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段有线位移，若不简化，无法继续。</w:t>
            </w:r>
          </w:p>
        </w:tc>
        <w:tc>
          <w:tcPr>
            <w:tcW w:w="2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80185" cy="749935"/>
                  <wp:effectExtent l="0" t="0" r="5715" b="12065"/>
                  <wp:docPr id="166" name="图片 16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rcRect l="3171" t="2575" r="24319" b="37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必须简化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1316" w:hRule="atLeast"/>
          <w:jc w:val="center"/>
        </w:trPr>
        <w:tc>
          <w:tcPr>
            <w:tcW w:w="35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2.题意要求先简化，再进行后续分析计算。右图体系，要求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2"/>
                <w:szCs w:val="22"/>
                <w:lang w:val="en-US" w:eastAsia="zh-CN"/>
              </w:rPr>
              <w:t>考虑其对称性后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进行力法分析。</w:t>
            </w:r>
          </w:p>
        </w:tc>
        <w:tc>
          <w:tcPr>
            <w:tcW w:w="2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97635" cy="805815"/>
                  <wp:effectExtent l="0" t="0" r="0" b="13335"/>
                  <wp:docPr id="141" name="图片 1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rcRect l="6038" t="5095" r="20127" b="30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trHeight w:val="1688" w:hRule="atLeast"/>
          <w:jc w:val="center"/>
        </w:trPr>
        <w:tc>
          <w:tcPr>
            <w:tcW w:w="35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3.题干未作要求，但若不简化，计算分析量明显偏大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sz w:val="22"/>
                <w:szCs w:val="22"/>
                <w:lang w:val="en-US" w:eastAsia="zh-CN"/>
              </w:rPr>
              <w:t>。对力法或位移法，若未知量明确为0的，亦可在此处简化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leftChars="0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如图使用位移法计算，若不简化，结点</w:t>
            </w:r>
            <w:r>
              <w:rPr>
                <w:rFonts w:hint="default" w:ascii="Times New Roman" w:hAnsi="Times New Roman" w:eastAsia="宋体" w:cs="Times New Roman"/>
                <w:b/>
                <w:bCs/>
                <w:i/>
                <w:iCs/>
                <w:sz w:val="22"/>
                <w:szCs w:val="22"/>
                <w:lang w:val="en-US" w:eastAsia="zh-CN"/>
              </w:rPr>
              <w:t>E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  <w:t>会增加两个结点位移。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left"/>
              <w:textAlignment w:val="auto"/>
              <w:rPr>
                <w:rFonts w:hint="default" w:ascii="宋体" w:hAnsi="宋体" w:eastAsia="宋体" w:cs="宋体"/>
                <w:b/>
                <w:bCs/>
                <w:sz w:val="22"/>
                <w:szCs w:val="22"/>
                <w:lang w:val="en-US" w:eastAsia="zh-CN"/>
              </w:rPr>
            </w:pPr>
          </w:p>
        </w:tc>
        <w:tc>
          <w:tcPr>
            <w:tcW w:w="25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31595" cy="1029335"/>
                  <wp:effectExtent l="0" t="0" r="1905" b="18415"/>
                  <wp:docPr id="142" name="图片 14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rcRect l="6741" r="22582" b="28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可选简化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3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82" w:firstLineChars="200"/>
        <w:jc w:val="left"/>
        <w:textAlignment w:val="auto"/>
        <w:rPr>
          <w:rFonts w:hint="eastAsia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>模型满足对称（镜像或旋转对称）、荷载满足对称/反对称（或特定的一般荷载作用，但最终弯矩图为对称或反对称）；位移法、力矩分配法中局部静定或等效变换。可使用分析前简化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SMIA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提供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计算前简化功能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。本功能需要主讲老师建题时，在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智能题库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模块处特别设定。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34290</wp:posOffset>
            </wp:positionV>
            <wp:extent cx="1190625" cy="675005"/>
            <wp:effectExtent l="9525" t="9525" r="19050" b="20320"/>
            <wp:wrapSquare wrapText="bothSides"/>
            <wp:docPr id="1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9"/>
                    <pic:cNvPicPr>
                      <a:picLocks noChangeAspect="1"/>
                    </pic:cNvPicPr>
                  </pic:nvPicPr>
                  <pic:blipFill>
                    <a:blip r:embed="rId203"/>
                    <a:srcRect l="14114" r="1531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75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力法、位移法、力矩分配法三类综合题型建设时，参数设定区域增加“分析前简化”的三个选择项（右图），老师定义题目时选中“允许分析前简化”或“要求分析前简化”选项，所建题目发布后学生打开时，题目增加树节点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分析前简化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”，嵌入各综合计算题目分析功能树中。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16510</wp:posOffset>
            </wp:positionV>
            <wp:extent cx="1166495" cy="939165"/>
            <wp:effectExtent l="9525" t="9525" r="24130" b="22860"/>
            <wp:wrapSquare wrapText="bothSides"/>
            <wp:docPr id="16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9"/>
                    <pic:cNvPicPr>
                      <a:picLocks noChangeAspect="1"/>
                    </pic:cNvPicPr>
                  </pic:nvPicPr>
                  <pic:blipFill>
                    <a:blip r:embed="rId204"/>
                    <a:srcRect r="11384"/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93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分析前简化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”操作，对学生而言，无论老师定义的题目是“允许”还是“要求”，皆只是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可选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操作项，学生既可使用，也可不使用本功能去简化模型。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综合性题目批阅时，根据题意要求进行，若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简化却未简化（前述情形1或2），后续计算皆不计分。若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简化未作简化（前述情形3），评判按常规方式开展。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四、选择“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分析前简化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”，学生可在相应操作界面，进行杆件、结点、刚度、荷载、支座的修改和增删，从而构建一个自认为更为简化，且概念上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等效于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sz w:val="24"/>
          <w:szCs w:val="24"/>
          <w:em w:val="dot"/>
          <w:lang w:val="en-US" w:eastAsia="zh-CN"/>
        </w:rPr>
        <w:t>可替换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原模型的“新”模型，如等效半结构、静定局部去除、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剪力静定杆（因定向结点的显示优化未完成，此简化模式未上线）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替换。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五、无支座体系对应于前述情况一，由于无支座体系存在任意整体刚体位移，不能直接支持力法、位移法和力矩分配法分析，必须简化后才能进行下一步分析。简化后模型不再允许无支座体系。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六、分析前简化，只支持算法开始前的一次操作，不能多次继续简化。在计算过程任一步骤，皆可重新进入分析前简化，此时所有操作都将重置，仍将回退至最原始模型基础进行简化。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选择“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分析前简化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”后，算法在简化后模型中开展，学生应按简化后模型进行相应算法分析，结束算法后，还需要在“</w:t>
      </w:r>
      <w:r>
        <w:rPr>
          <w:rFonts w:hint="default" w:ascii="Times New Roman" w:hAnsi="Times New Roman" w:eastAsia="宋体" w:cs="Times New Roman"/>
          <w:b/>
          <w:bCs/>
          <w:i/>
          <w:iCs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总”节点中，提交原始模型的总弯矩图。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未选择“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分析前简化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”，不会出现“</w:t>
      </w:r>
      <w:r>
        <w:rPr>
          <w:rFonts w:hint="default" w:ascii="Times New Roman" w:hAnsi="Times New Roman" w:eastAsia="宋体" w:cs="Times New Roman"/>
          <w:b/>
          <w:bCs/>
          <w:i/>
          <w:iCs/>
          <w:sz w:val="24"/>
          <w:szCs w:val="24"/>
          <w:lang w:val="en-US" w:eastAsia="zh-CN"/>
        </w:rPr>
        <w:t>M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总”节点，系统认定学生自认不必要使用本功能，学生可自行在原模型上操作计算。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对简化后模型的评阅中，使用两阶段评阅方式：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第一阶段是对简化是否成功的判断；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第二阶段是对简化后的模型进行算法过程评阅，如果简化失败，但后续在失败模型上的算法正确，过程评判将不会起作用。如下图所示。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具体得分，若一阶段错误后，二阶段不得分。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596265</wp:posOffset>
                </wp:positionV>
                <wp:extent cx="1905000" cy="488315"/>
                <wp:effectExtent l="0" t="0" r="0" b="0"/>
                <wp:wrapNone/>
                <wp:docPr id="168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95365" y="2540000"/>
                          <a:ext cx="190500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  <w:t>模型简化就出错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9pt;margin-top:46.95pt;height:38.45pt;width:150pt;z-index:251677696;mso-width-relative:page;mso-height-relative:page;" filled="f" stroked="f" coordsize="21600,21600" o:gfxdata="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frQ19toAAAAJAQAADwAAAAAAAAAB&#10;ACAAAAAiAAAAZHJzL2Rvd25yZXYueG1sUEsBAhQAFAAAAAgAh07iQBLj1ohHAgAAdg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36"/>
                          <w:szCs w:val="44"/>
                          <w:lang w:val="en-US" w:eastAsia="zh-CN"/>
                        </w:rPr>
                        <w:t>模型简化就出错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3710940</wp:posOffset>
                </wp:positionV>
                <wp:extent cx="1108075" cy="105283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075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lang w:val="en-US" w:eastAsia="zh-CN"/>
                              </w:rPr>
                              <w:t xml:space="preserve">总弯矩图才会描述错误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3pt;margin-top:292.2pt;height:82.9pt;width:87.25pt;z-index:251679744;mso-width-relative:page;mso-height-relative:page;" filled="f" stroked="f" coordsize="21600,21600" o:gfxdata="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6phrN0AAAALAQAADwAAAAAAAAABACAAAAAi&#10;AAAAZHJzL2Rvd25yZXYueG1sUEsBAhQAFAAAAAgAh07iQNpLPFM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28"/>
                          <w:szCs w:val="36"/>
                          <w:lang w:val="en-US" w:eastAsia="zh-CN"/>
                        </w:rPr>
                        <w:t xml:space="preserve">总弯矩图才会描述错误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176530</wp:posOffset>
                </wp:positionV>
                <wp:extent cx="3644900" cy="4146550"/>
                <wp:effectExtent l="14605" t="14605" r="17145" b="29845"/>
                <wp:wrapNone/>
                <wp:docPr id="173" name="任意多边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1365" y="1319530"/>
                          <a:ext cx="3644900" cy="4146550"/>
                        </a:xfrm>
                        <a:custGeom>
                          <a:avLst/>
                          <a:gdLst>
                            <a:gd name="connisteX0" fmla="*/ 1803400 w 3644900"/>
                            <a:gd name="connsiteY0" fmla="*/ 0 h 4146550"/>
                            <a:gd name="connisteX1" fmla="*/ 1803400 w 3644900"/>
                            <a:gd name="connsiteY1" fmla="*/ 1168400 h 4146550"/>
                            <a:gd name="connisteX2" fmla="*/ 0 w 3644900"/>
                            <a:gd name="connsiteY2" fmla="*/ 1168400 h 4146550"/>
                            <a:gd name="connisteX3" fmla="*/ 0 w 3644900"/>
                            <a:gd name="connsiteY3" fmla="*/ 4146550 h 4146550"/>
                            <a:gd name="connisteX4" fmla="*/ 1981200 w 3644900"/>
                            <a:gd name="connsiteY4" fmla="*/ 4146550 h 4146550"/>
                            <a:gd name="connisteX5" fmla="*/ 1981200 w 3644900"/>
                            <a:gd name="connsiteY5" fmla="*/ 2844800 h 4146550"/>
                            <a:gd name="connisteX6" fmla="*/ 3644900 w 3644900"/>
                            <a:gd name="connsiteY6" fmla="*/ 2844800 h 4146550"/>
                            <a:gd name="connisteX7" fmla="*/ 3638550 w 3644900"/>
                            <a:gd name="connsiteY7" fmla="*/ 6350 h 4146550"/>
                            <a:gd name="connisteX8" fmla="*/ 1803400 w 3644900"/>
                            <a:gd name="connsiteY8" fmla="*/ 0 h 414655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</a:cxnLst>
                          <a:rect l="l" t="t" r="r" b="b"/>
                          <a:pathLst>
                            <a:path w="3644900" h="4146550">
                              <a:moveTo>
                                <a:pt x="1803400" y="0"/>
                              </a:moveTo>
                              <a:lnTo>
                                <a:pt x="1803400" y="1168400"/>
                              </a:lnTo>
                              <a:lnTo>
                                <a:pt x="0" y="1168400"/>
                              </a:lnTo>
                              <a:lnTo>
                                <a:pt x="0" y="4146550"/>
                              </a:lnTo>
                              <a:lnTo>
                                <a:pt x="1981200" y="4146550"/>
                              </a:lnTo>
                              <a:lnTo>
                                <a:pt x="1981200" y="2844800"/>
                              </a:lnTo>
                              <a:lnTo>
                                <a:pt x="3644900" y="2844800"/>
                              </a:lnTo>
                              <a:lnTo>
                                <a:pt x="3638550" y="6350"/>
                              </a:lnTo>
                              <a:lnTo>
                                <a:pt x="18034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  <a:alpha val="17000"/>
                          </a:schemeClr>
                        </a:solidFill>
                        <a:ln w="28575" cmpd="sng">
                          <a:solidFill>
                            <a:srgbClr val="00206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32.15pt;margin-top:13.9pt;height:326.5pt;width:287pt;z-index:251681792;mso-width-relative:page;mso-height-relative:page;" fillcolor="#DEEBF7 [660]" filled="t" stroked="t" coordsize="3644900,4146550" o:gfxdata="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CGBgp8&#10;2AAAAAkBAAAPAAAAAAAAAAEAIAAAACIAAABkcnMvZG93bnJldi54bWxQSwECFAAUAAAACACHTuJA&#10;hnD+obADAAAuDAAADgAAAAAAAAABACAAAAAnAQAAZHJzL2Uyb0RvYy54bWxQSwUGAAAAAAYABgBZ&#10;AQAASQcAAAAA&#10;" path="m1803400,0l1803400,1168400,0,1168400,0,4146550,1981200,4146550,1981200,2844800,3644900,2844800,3638550,6350,1803400,0xe">
                <v:path o:connectlocs="1803400,0;1803400,1168400;0,1168400;0,4146550;1981200,4146550;1981200,2844800;3644900,2844800;3638550,6350;1803400,0" o:connectangles="0,0,0,0,0,0,0,0,0"/>
                <v:fill on="t" opacity="11141f" focussize="0,0"/>
                <v:stroke weight="2.25pt" color="#00206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2507615</wp:posOffset>
                </wp:positionV>
                <wp:extent cx="3900805" cy="998855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805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FF"/>
                                <w:sz w:val="36"/>
                                <w:szCs w:val="44"/>
                                <w:lang w:val="en-US" w:eastAsia="zh-CN"/>
                              </w:rPr>
                              <w:t>在错误简化结果上，位移法计算全部正确，不会产生错误提示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75pt;margin-top:197.45pt;height:78.65pt;width:307.15pt;z-index:251678720;mso-width-relative:page;mso-height-relative:page;" filled="f" stroked="f" coordsize="21600,21600" o:gfxdata="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/orDcAAAACgEAAA8AAAAAAAAAAQAgAAAAIgAA&#10;AGRycy9kb3ducmV2LnhtbFBLAQIUABQAAAAIAIdO4kC6+YeX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36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FF"/>
                          <w:sz w:val="36"/>
                          <w:szCs w:val="44"/>
                          <w:lang w:val="en-US" w:eastAsia="zh-CN"/>
                        </w:rPr>
                        <w:t>在错误简化结果上，位移法计算全部正确，不会产生错误提示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1371600</wp:posOffset>
                </wp:positionV>
                <wp:extent cx="1485900" cy="1238885"/>
                <wp:effectExtent l="0" t="0" r="0" b="18415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0515" y="2476500"/>
                          <a:ext cx="1485900" cy="1238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606550" cy="1087755"/>
                                  <wp:effectExtent l="0" t="0" r="12700" b="0"/>
                                  <wp:docPr id="172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" name="图片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5">
                                            <a:clrChange>
                                              <a:clrFrom>
                                                <a:srgbClr val="FFFFFF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FFFFF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550" cy="108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45pt;margin-top:108pt;height:97.55pt;width:117pt;z-index:251680768;mso-width-relative:page;mso-height-relative:page;" fillcolor="#DAE3F3 [664]" filled="t" stroked="f" coordsize="21600,21600" o:gfxdata="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zfj7TaAAAACwEAAA8AAAAAAAAAAQAgAAAAIgAA&#10;AGRycy9kb3ducmV2LnhtbFBLAQIUABQAAAAIAIdO4kCF3CWleAIAANkEAAAOAAAAAAAAAAEAIAAA&#10;ACkBAABkcnMvZTJvRG9jLnhtbFBLBQYAAAAABgAGAFkBAAAT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606550" cy="1087755"/>
                            <wp:effectExtent l="0" t="0" r="12700" b="0"/>
                            <wp:docPr id="172" name="图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" name="图片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5">
                                      <a:clrChange>
                                        <a:clrFrom>
                                          <a:srgbClr val="FFFFFF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FFFFF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6550" cy="108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985260" cy="4610100"/>
            <wp:effectExtent l="9525" t="9525" r="24765" b="9525"/>
            <wp:docPr id="1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9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461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29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7140" w:leftChars="0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val="en-US" w:eastAsia="zh-CN"/>
        </w:rPr>
      </w:pPr>
      <w:r>
        <w:rPr>
          <w:rFonts w:hint="eastAsia"/>
          <w:b/>
          <w:bCs/>
          <w:sz w:val="72"/>
          <w:szCs w:val="144"/>
          <w:lang w:val="en-US" w:eastAsia="zh-CN"/>
        </w:rPr>
        <w:t>智能题库</w:t>
      </w:r>
    </w:p>
    <w:p>
      <w:pPr>
        <w:numPr>
          <w:ilvl w:val="0"/>
          <w:numId w:val="0"/>
        </w:numPr>
        <w:ind w:left="3154" w:leftChars="1502" w:right="1136" w:rightChars="541" w:firstLine="0" w:firstLineChars="0"/>
        <w:jc w:val="both"/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52"/>
          <w:szCs w:val="72"/>
        </w:rPr>
        <w:t>交互式辅助建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  <w:t>题，用于作业、测试、考试；限于【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  <w:t>主讲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  <w:t>教师】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  <w:t>用于题库建设、</w:t>
      </w: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eastAsia="zh-CN"/>
        </w:rPr>
        <w:t>发布作业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7140" w:leftChars="0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34"/>
        </w:numPr>
        <w:adjustRightInd w:val="0"/>
        <w:snapToGrid w:val="0"/>
        <w:spacing w:line="360" w:lineRule="auto"/>
        <w:ind w:left="420" w:leftChars="0" w:firstLine="672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智能题库</w:t>
      </w:r>
    </w:p>
    <w:p>
      <w:pPr>
        <w:numPr>
          <w:ilvl w:val="0"/>
          <w:numId w:val="34"/>
        </w:numPr>
        <w:adjustRightInd w:val="0"/>
        <w:snapToGrid w:val="0"/>
        <w:spacing w:line="360" w:lineRule="auto"/>
        <w:ind w:left="420" w:leftChars="0" w:firstLine="6720" w:firstLineChars="0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作业发布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2327" w:firstLineChars="322"/>
        <w:jc w:val="left"/>
        <w:textAlignment w:val="auto"/>
        <w:rPr>
          <w:rFonts w:hint="eastAsia" w:ascii="宋体" w:hAnsi="宋体" w:eastAsia="宋体" w:cs="宋体"/>
          <w:b/>
          <w:bCs/>
          <w:color w:val="5B9BD5" w:themeColor="accent1"/>
          <w:sz w:val="72"/>
          <w:szCs w:val="72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7140" w:leftChars="0"/>
        <w:rPr>
          <w:rFonts w:hint="default"/>
          <w:b/>
          <w:bCs/>
          <w:sz w:val="40"/>
          <w:szCs w:val="48"/>
          <w:lang w:val="en-US" w:eastAsia="zh-CN"/>
        </w:rPr>
        <w:sectPr>
          <w:headerReference r:id="rId30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智能题库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主讲教师在智能题库中建设题目，题型及参数设置完毕，可将其加入自定义题库，供作业或测试、考试发布使用。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【基本设定】为保证变参题目，计算量、基本特征和难度接近，使用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母题交互方式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，打开任一模型（分析演示模型、或历史题目）后，进入智能题库即以所打开的模型为母题（自定义概念题除外）。打开变参题，智能题库会拾取其原始母题参数，而非以当前所显示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变参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引入。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79" w:afterLines="25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题型包括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填空、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vertAlign w:val="baseline"/>
          <w:lang w:val="en-US" w:eastAsia="zh-CN"/>
        </w:rPr>
        <w:t>选择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、判断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、分析、绘图和综合题等多类。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自定义概念题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1997"/>
        <w:gridCol w:w="20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0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填空</w:t>
            </w:r>
          </w:p>
        </w:tc>
        <w:tc>
          <w:tcPr>
            <w:tcW w:w="19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选择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判断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2" w:hRule="atLeast"/>
          <w:jc w:val="center"/>
        </w:trPr>
        <w:tc>
          <w:tcPr>
            <w:tcW w:w="20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23315" cy="1315085"/>
                  <wp:effectExtent l="9525" t="9525" r="10160" b="27940"/>
                  <wp:docPr id="10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18870" cy="1334135"/>
                  <wp:effectExtent l="9525" t="9525" r="14605" b="27940"/>
                  <wp:docPr id="10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6805" cy="1327150"/>
                  <wp:effectExtent l="9525" t="9525" r="26670" b="15875"/>
                  <wp:docPr id="10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输入数值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“确定输入”提交</w:t>
            </w:r>
          </w:p>
        </w:tc>
        <w:tc>
          <w:tcPr>
            <w:tcW w:w="199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单击选项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“确定输入”提交</w:t>
            </w:r>
          </w:p>
        </w:tc>
        <w:tc>
          <w:tcPr>
            <w:tcW w:w="208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单击选项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“确定输入”提交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为引入更自由的题目，系统允许“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自定义概念题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”，可附模型图，也可不附图。为减少数据量，所附图仍需按结构模型建立。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系统不检查自定义题的协调性和正确性，需由老师把握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1、纯客观类题目（默认不附模型图）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自定义概念题可为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填空、判断和单项选择（多项选择待扩展）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。老师应分别填写题干和答案（或选项）。附图仅为示意，系统不用模型分析结果。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自定义填空题中，系统无法区分输入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em w:val="dot"/>
          <w:lang w:val="en-US" w:eastAsia="zh-CN"/>
        </w:rPr>
        <w:t>语句的近义表述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，故参考答案仅限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数值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形式（可接受数字、分数和带根号值，系统自动转换为数值保存）。本类填空题，只允许一个空，置于题干尾部。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自定义选择和判断，可以编辑修改选项（鼠标右键点击选项，进入修改，回车确定），判断题为两个选项（判断题答案可不限于“正确”“错误”，可自行输入）；选择题为四个选项。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自定义概念题题干由用户自主输入，对中文、英文、符号显示，系统智能处理，表达出“宋体”、“Times New Roman”、“Symbol”三种字体，以及上下标、正斜体格式。输入内容，系统根据结构力学课程概念，进行首次智能识别。效果如下图所示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5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lang w:val="en-US" w:eastAsia="zh-CN"/>
              </w:rPr>
              <w:t>输入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lang w:val="en-US" w:eastAsia="zh-CN"/>
              </w:rPr>
              <w:t>题干</w:t>
            </w:r>
          </w:p>
        </w:tc>
        <w:tc>
          <w:tcPr>
            <w:tcW w:w="58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9" w:beforeLines="25" w:after="157" w:afterLines="50"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1"/>
                <w:szCs w:val="21"/>
                <w:lang w:val="en-US" w:eastAsia="zh-CN"/>
              </w:rPr>
              <w:t>刚架由于支座B下沉D所引起结点E的水平位移DDH为D/4（水平向右）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9" w:beforeLines="25" w:after="157" w:afterLines="50"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1"/>
                <w:szCs w:val="21"/>
                <w:lang w:val="en-US" w:eastAsia="zh-CN"/>
              </w:rPr>
              <w:t>显示</w:t>
            </w:r>
          </w:p>
        </w:tc>
        <w:tc>
          <w:tcPr>
            <w:tcW w:w="58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9" w:beforeLines="25" w:after="157" w:afterLines="50"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2F5597" w:themeColor="accent5" w:themeShade="BF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3616960" cy="178435"/>
                  <wp:effectExtent l="0" t="0" r="2540" b="12065"/>
                  <wp:docPr id="1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rcRect l="15800" r="15" b="4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96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题干格式没有统一规范，主讲老师表达思维也存在差别，智能识别无法保证绝对有效。在确定插入题目时，系统弹出窗口（如下图所示），便于对题干文本格式二次编辑。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582035" cy="2177415"/>
            <wp:effectExtent l="9525" t="9525" r="27940" b="22860"/>
            <wp:docPr id="1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9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操作时在“内容”栏，鼠标选择需要修改格式的文字，选中后，利用“Ctrl+数字键”，实现格式调整，所见即所得。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【说明】符号使用symbol字体，中文用其显示会产生乱码。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【说明】本窗体只能修改格式，不能修改内容。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2、变参类填空题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自定义概念题不支持变参，也不支持关联模型。变参、多空、关联于模型时，应选用变参类填空题。变参类填空题中，答案在题干内空格位置用: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{答案字符}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表示。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{答案字符}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在题干显示时，替换为下划线空格。答案字符按以下格式要求输入：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（1）答案为固定数值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00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定值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如某题某空答案为固定值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，则在此位置输入：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｛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00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（2）答案为关联于模型分析结果的零杆数目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--仅理想桁架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零杆数为模型自动计算结果。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（3）答案为关联于模型分析结果的支座反力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02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A*B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为结点号（整数），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为方向（整数，1为水平，2 为竖向，3为转动，不支持斜支座），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*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为连接符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如某空格要求计算3结点水平向支座反力时，应输入：{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02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3*1}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（4）答案为关联于模型分析结果的指定截面内力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03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A*B*C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为单元号（整数），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为截面力类型（整数，1为轴力，2 为剪力，3为弯矩），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C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为截面定位（截面在单元的相对定位长度，0</w:t>
      </w:r>
      <w:r>
        <w:rPr>
          <w:rFonts w:hint="default" w:ascii="Arial" w:hAnsi="Arial" w:eastAsia="宋体" w:cs="Arial"/>
          <w:b w:val="0"/>
          <w:bCs w:val="0"/>
          <w:sz w:val="24"/>
          <w:szCs w:val="24"/>
          <w:lang w:val="en-US" w:eastAsia="zh-CN"/>
        </w:rPr>
        <w:t>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C</w:t>
      </w:r>
      <w:r>
        <w:rPr>
          <w:rFonts w:hint="default" w:ascii="Arial" w:hAnsi="Arial" w:eastAsia="宋体" w:cs="Arial"/>
          <w:b w:val="0"/>
          <w:bCs w:val="0"/>
          <w:sz w:val="24"/>
          <w:szCs w:val="24"/>
          <w:lang w:val="en-US" w:eastAsia="zh-CN"/>
        </w:rPr>
        <w:t>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1，始端起算，单元方向定义见14页所述），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*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为连接符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指定截面默认为截面“K”，如果计算截面内力性质为弯矩或剪力时，自动绘出K截面的定位示意。目前支持对一个截面定位，若是题干中同时指定了多个截面，只显示第一个被指定的截面。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i/>
          <w:iCs/>
          <w:color w:val="70AD47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是否增加多个截面指示，改为123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如某空格要求计算4单元的中截面弯矩，应输入：{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03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4*3*0.5}或{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03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4*3*1/2}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【说明】对于结点荷载作用下的理想桁架，若要求填空计算指定杆件轴力，可按方式(4)进行，C可取0-1间的任意值。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【说明】各数值，要求输入为整数的，必须输入整型数值，非整数要求的，则可输入小数、分数、根号。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【说明】截面内力正负：轴、剪按教材约定；弯矩正负，按杆件局部坐标系指向，上拉为正，下拉为负，题干应相应说明。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某变参题，设计如下（系统根据变参后的模型，自动匹配正确答案）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图示静定桁架中，有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根零杆，杆AG的轴力为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kN。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题干输入为：图示静定桁架中，有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{01}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根零杆，杆AG的轴力为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{039*1*0.5}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kN。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此作业题打开后，题目界面显示为（配图略）：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</w:pPr>
      <w:r>
        <w:drawing>
          <wp:inline distT="0" distB="0" distL="114300" distR="114300">
            <wp:extent cx="3712210" cy="914400"/>
            <wp:effectExtent l="9525" t="9525" r="12065" b="9525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212"/>
                    <a:srcRect t="4137" b="2780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（5）答案为关联于模型分析结果的指定结点位移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04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A*B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为结点号（整数），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为方向（整数，1为水平，2 为竖向，3为转动），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*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为连接符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如某空格要求计算3结点水平向位移值时，应输入：{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02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3*1}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（6）答案为关联于模型分析结果的指定截面位移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05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A*B*C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}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为单元号（整数），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B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为位移类型（整数，1为水平，2 为竖向，3为转动），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C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为截面定位（截面在单元的相对定位长度，0</w:t>
      </w:r>
      <w:r>
        <w:rPr>
          <w:rFonts w:hint="default" w:ascii="Arial" w:hAnsi="Arial" w:eastAsia="宋体" w:cs="Arial"/>
          <w:b w:val="0"/>
          <w:bCs w:val="0"/>
          <w:sz w:val="24"/>
          <w:szCs w:val="24"/>
          <w:lang w:val="en-US" w:eastAsia="zh-CN"/>
        </w:rPr>
        <w:t>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C</w:t>
      </w:r>
      <w:r>
        <w:rPr>
          <w:rFonts w:hint="default" w:ascii="Arial" w:hAnsi="Arial" w:eastAsia="宋体" w:cs="Arial"/>
          <w:b w:val="0"/>
          <w:bCs w:val="0"/>
          <w:sz w:val="24"/>
          <w:szCs w:val="24"/>
          <w:lang w:val="en-US" w:eastAsia="zh-CN"/>
        </w:rPr>
        <w:t>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1，始端起算），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*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为连接符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（7）答案为关联变参模型某参数、某分析结果的函数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（未开放）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答案字符格式输入为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u w:val="none"/>
          <w:lang w:val="en-US" w:eastAsia="zh-CN"/>
        </w:rPr>
        <w:t>{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##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u w:val="none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##,##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u w:val="none"/>
          <w:lang w:val="en-US" w:eastAsia="zh-CN"/>
        </w:rPr>
        <w:t>：函数表达式}</w:t>
      </w: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##可对应于(2)-(6)，仍分别输入为对应的关联表达式，变量间以逗号“,”分隔，除计算参数外，也可输入结构参数变量，目前支持：某单元长度（##表示为99L）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表达式只能使用四则运算，如函数表达式应写为（</w:t>
      </w:r>
      <w:r>
        <w:rPr>
          <w:rFonts w:hint="eastAsia" w:ascii="宋体" w:hAnsi="宋体" w:eastAsia="宋体" w:cs="宋体"/>
          <w:b w:val="0"/>
          <w:bCs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参量1用x表示，参量2用y表示，参量3用z表示，最多允许三个变量引入</w:t>
      </w: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）：3*x+2*y/(7+z)，常规题目应该只会使用到单变量。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sz w:val="24"/>
          <w:szCs w:val="24"/>
          <w:u w:val="none"/>
          <w:lang w:val="en-US" w:eastAsia="zh-CN"/>
        </w:rPr>
        <w:t>函数引用的变量，按变量定义顺序使用，不能超出变量定义数目，但可少于（定义了三个变量，可只使用一个）。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79" w:beforeLines="25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trike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/>
          <w:dstrike w:val="0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A</w:t>
      </w:r>
      <w:r>
        <w:rPr>
          <w:rFonts w:hint="eastAsia" w:ascii="宋体" w:hAnsi="宋体" w:eastAsia="宋体" w:cs="宋体"/>
          <w:b w:val="0"/>
          <w:bCs w:val="0"/>
          <w:strike/>
          <w:dstrike w:val="0"/>
          <w:sz w:val="24"/>
          <w:szCs w:val="24"/>
          <w:lang w:val="en-US" w:eastAsia="zh-CN"/>
        </w:rPr>
        <w:t>为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智能参数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参数包括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模型特征参数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题设特征参数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。智能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变参时，系统会对题目进行协调性分析，保证所有题目在当前知识点、当前设定下，每一次变参后均有合理解答；若出现不协调情况，则自动修正模型参数直到合适。如果较大概率会出现不协调，则在测试状态下提示主讲教师注意参数不适合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母题原始特征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尺度对称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-关于X或Y轴分别定义。指体系的杆件对象（仅描述杆件单元对称性，</w:t>
      </w:r>
      <w:r>
        <w:rPr>
          <w:rFonts w:hint="eastAsia" w:ascii="宋体" w:hAnsi="宋体" w:eastAsia="宋体" w:cs="宋体"/>
          <w:b w:val="0"/>
          <w:bCs w:val="0"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内、外约束、刚度等对称性不在此表达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），是否关于整体坐标系统、结构中心的X或Y或两轴对称性；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尺度对称时，系统会继续分析荷载是否为完全对称或反对称，刚度是否满足对称性。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等跨/等高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指体系中结点坐标，在X/Y轴上的分布规律。此判定是按结点在X/Y轴上的投影位置是否满足等长分布,可以更好继承当前模型的形状特征。结点与杆件或许并不满足对称性。如旋转对称问题，并非常规的镜像对称，但结点间关系可以满足等跨/等高的描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系统智能分析母题原始特征目的，在于变参过程给主讲老师继承以上特征的选择，以更大程度还原变参后母题的考核或训练目的。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需注意，保留某些特征，结构变参参数可选范围，必然大幅度减小。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维持尺寸对称的情况下，才能够继续刚度和荷载对称的选择。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模型特征智能变参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模型特征参数包括：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支座、杆件长度、荷载、截面刚度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；皆可设定为变参。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  <w:rPr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1618615" cy="1250950"/>
            <wp:effectExtent l="9525" t="9525" r="10160" b="15875"/>
            <wp:docPr id="1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"/>
                    <pic:cNvPicPr>
                      <a:picLocks noChangeAspect="1"/>
                    </pic:cNvPicPr>
                  </pic:nvPicPr>
                  <pic:blipFill>
                    <a:blip r:embed="rId213"/>
                    <a:srcRect r="9029" b="233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5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在智能题库操作界面的右下角，提供对模型参数的设定，即按“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固定参数模式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”和“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智能变参模式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”插入题库。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建题过程中，主讲教师可以使用“变参模拟效果”按键，观察模型变参设定效果。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建题完成后，在系统主界面进行试题调试时，亦可在菜单第一项的“变参”中（本功能仍仅限于【主讲教师】使用），快速执行当前变参题的自动变参操作。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若选择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智能变参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模式，系统将母题模型特征，及模型变参设定，一并存入本模型数据内。学生每次打开题目，得到的模型特征都可能不同。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若是选择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固定参数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模式，则将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当前显示的模型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插入题库。（不一定是母题的初始状态，若点击过变参模拟效果，模型参数已经发生变化，则只插入变化后、当前所显示的模型数据）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053590" cy="455930"/>
            <wp:effectExtent l="9525" t="9525" r="13335" b="10795"/>
            <wp:docPr id="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455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lang w:val="en-US" w:eastAsia="zh-CN"/>
        </w:rPr>
        <w:t xml:space="preserve"> </w:t>
      </w:r>
      <w:r>
        <w:rPr>
          <w:color w:val="auto"/>
        </w:rPr>
        <w:drawing>
          <wp:inline distT="0" distB="0" distL="114300" distR="114300">
            <wp:extent cx="2027555" cy="454025"/>
            <wp:effectExtent l="9525" t="9525" r="20320" b="12700"/>
            <wp:docPr id="1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"/>
                    <pic:cNvPicPr>
                      <a:picLocks noChangeAspect="1"/>
                    </pic:cNvPicPr>
                  </pic:nvPicPr>
                  <pic:blipFill>
                    <a:blip r:embed="rId215"/>
                    <a:srcRect r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54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支座变参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：当支座变参复选框被选中时，智能变参将对支座进行自动变参。母题模型会根据当前选定知识点进行自适应性判断。（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支座变参会导致题目计算难度过大改变，如无特殊需要，或对模型有把握，不建议使用支座变参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尺寸变参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：当杆件长度变参复选框被选中时，智能对各单元尺寸自动变参。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em w:val="dot"/>
          <w:lang w:val="en-US" w:eastAsia="zh-CN"/>
        </w:rPr>
        <w:t>为避免模型复杂度变化较大，尺寸变参时，水平杆、竖杆均不改变方向，但斜杆方向角会发生改变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2106"/>
        <w:gridCol w:w="2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1073150" cy="1035685"/>
                  <wp:effectExtent l="0" t="0" r="12700" b="12065"/>
                  <wp:docPr id="11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1009015" cy="1064260"/>
                  <wp:effectExtent l="0" t="0" r="635" b="2540"/>
                  <wp:docPr id="1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after="157" w:afterLines="50"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1198880" cy="992505"/>
                  <wp:effectExtent l="0" t="0" r="1270" b="17145"/>
                  <wp:docPr id="1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rcRect l="2012" r="30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母题</w:t>
            </w:r>
          </w:p>
        </w:tc>
        <w:tc>
          <w:tcPr>
            <w:tcW w:w="21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尺寸变参一</w:t>
            </w:r>
          </w:p>
        </w:tc>
        <w:tc>
          <w:tcPr>
            <w:tcW w:w="211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尺寸变参二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荷载变参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：当结点或单元荷载复选框选中时，对荷载值（以及其它荷载参数）自动智能变参。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刚度变参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：当刚度特征随机生成的复选框选中时，对截面刚度值自动智能变参。在力法、位移法、力矩分配法题目中（荷载作用下），因内力与相对刚度有关，若模型未设定刚度符号，系统会自动设置截面刚度符号。</w:t>
      </w:r>
    </w:p>
    <w:p>
      <w:pPr>
        <w:keepNext w:val="0"/>
        <w:keepLines w:val="0"/>
        <w:pageBreakBefore w:val="0"/>
        <w:widowControl w:val="0"/>
        <w:numPr>
          <w:ilvl w:val="0"/>
          <w:numId w:val="3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题设特征智能变参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题设特征包括：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题型、计算指定杆件（最多3个）、计算指定支座（1个）、计算指定截面（1个）、是内力、是位移、对应自由度、是否允许/要求简化后分析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等等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题设特征参数在不同题型中分别受以下设定控制。</w:t>
      </w:r>
    </w:p>
    <w:tbl>
      <w:tblPr>
        <w:tblStyle w:val="9"/>
        <w:tblW w:w="630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2307"/>
        <w:gridCol w:w="2304"/>
        <w:gridCol w:w="16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58" w:hRule="atLeast"/>
        </w:trPr>
        <w:tc>
          <w:tcPr>
            <w:tcW w:w="230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1364615" cy="1115695"/>
                  <wp:effectExtent l="9525" t="9525" r="16510" b="17780"/>
                  <wp:docPr id="1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rcRect l="2556" r="12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1356360" cy="801370"/>
                  <wp:effectExtent l="9525" t="9525" r="24765" b="27305"/>
                  <wp:docPr id="1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rcRect r="24359" b="5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ind w:right="-105" w:rightChars="-50"/>
              <w:jc w:val="center"/>
              <w:textAlignment w:val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drawing>
                <wp:inline distT="0" distB="0" distL="114300" distR="114300">
                  <wp:extent cx="868680" cy="173355"/>
                  <wp:effectExtent l="9525" t="9525" r="17145" b="26670"/>
                  <wp:docPr id="14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rcRect l="7011" t="20202" r="8856" b="13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733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08" w:hRule="atLeast"/>
        </w:trPr>
        <w:tc>
          <w:tcPr>
            <w:tcW w:w="230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b w:val="0"/>
                <w:bCs w:val="0"/>
              </w:rPr>
            </w:pPr>
          </w:p>
        </w:tc>
        <w:tc>
          <w:tcPr>
            <w:tcW w:w="230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b w:val="0"/>
                <w:bCs w:val="0"/>
              </w:rPr>
            </w:pPr>
          </w:p>
        </w:tc>
        <w:tc>
          <w:tcPr>
            <w:tcW w:w="168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力法、位移法、力矩分配法中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允许使用分析前简化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02" w:hRule="atLeast"/>
        </w:trPr>
        <w:tc>
          <w:tcPr>
            <w:tcW w:w="230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23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几何组成分析适用</w:t>
            </w:r>
          </w:p>
        </w:tc>
        <w:tc>
          <w:tcPr>
            <w:tcW w:w="168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Lines="0" w:line="24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模型参数不变时，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题设特征仍可变参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主讲教师设定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题目参数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多选项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  <w14:textFill>
            <w14:gradFill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scaled="0"/>
            </w14:gradFill>
          </w14:textFill>
        </w:rPr>
        <w:t>随机项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时，学生得到的就是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模型参数固定、但题设参数随机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的变参题。若要完全固定所有参数，就还需要指定一切题设参数。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对于填空、选择、判断、分析、计算等题型，题设中的多选项意味着从中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em w:val="dot"/>
          <w:lang w:val="en-US" w:eastAsia="zh-CN"/>
        </w:rPr>
        <w:t>随机选定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一个要求学生作答（仅一次作答）。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绘图题例外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，指定多个内力图要求绘制时，是要求学生同时完成多个指定内力图绘制。如果绘图题只需学生随机完成任一个类型的内力绘制，则不应选中“指定计算范围”这个复选框，系统随机选定一个进行要求。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只对指定的杆，要求绘轴、弯、剪（两种及以上）的内力时，目前系统的默认设置，只能对指定杆同时绘制要求的各种内力（如：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AB、CD杆绘出轴力、弯矩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）。暂不支持对不同杆分别指定不同内力（如，暂时无法设定出：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AB杆绘轴力，CD杆绘弯矩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）。题库中有此功能的题目是手动设置的，待后续版本再行在系统实现。</w:t>
      </w:r>
    </w:p>
    <w:p>
      <w:pPr>
        <w:keepNext w:val="0"/>
        <w:keepLines w:val="0"/>
        <w:pageBreakBefore w:val="0"/>
        <w:widowControl w:val="0"/>
        <w:numPr>
          <w:ilvl w:val="0"/>
          <w:numId w:val="3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变参设置</w:t>
      </w:r>
    </w:p>
    <w:p>
      <w:pPr>
        <w:keepNext w:val="0"/>
        <w:keepLines w:val="0"/>
        <w:pageBreakBefore w:val="0"/>
        <w:widowControl w:val="0"/>
        <w:numPr>
          <w:ilvl w:val="0"/>
          <w:numId w:val="3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自动变参模式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尺寸变参幅度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：允许主讲教师设定变参幅度，系统默认为50%，教师可根据需要调整些变化幅度；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荷载值变参幅度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：允许主讲老师设定变参幅度，系统默认为对应母题上下50%范围内变动；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荷载方向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：允许主讲老师设定某类荷载是否允许变向，系统默认为竖向荷载不允许变向（如果对称结构+对称荷载，考虑对称性为荷载主特征，此时也允许变向），水平荷载、力矩默认允许变向；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结点荷载类型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：允许主讲老师设定结点荷载是否允许自动改变类型，即在水平力、竖向力、力偶矩之间，在系统允许可能下自动变化；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单元荷载类型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：允许主讲教师设定单元荷载类型是否允许自动改变；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考虑题目计算结果的协调性，参数为数值时（如24），其可变范围比起一般的符号（q），要大许多，主讲老师需要保证足够量变参题时，可按数值或更多倍数（如12q）进行设置。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trike w:val="0"/>
          <w:dstrike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color w:val="FF0000"/>
          <w:sz w:val="24"/>
          <w:szCs w:val="24"/>
          <w:lang w:val="en-US" w:eastAsia="zh-CN"/>
        </w:rPr>
        <w:t>可设置自动变参的常规变参范围，以及其它细部控制。（设定功能暂未开放，目前只能使用系统默认幅度）</w:t>
      </w:r>
    </w:p>
    <w:p>
      <w:pPr>
        <w:keepNext w:val="0"/>
        <w:keepLines w:val="0"/>
        <w:pageBreakBefore w:val="0"/>
        <w:widowControl w:val="0"/>
        <w:numPr>
          <w:ilvl w:val="0"/>
          <w:numId w:val="3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手动变参模式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（功能暂未开放）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对任意结构参数可根据题目特征，进行手动变参设置。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对某项数据进行手动变参时，会取消对应项次的自动变参设定，转而根据老师手动输入的数据组中，随机选取。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对特定参数，输入数据系列，系统变参时随机以系列中某一数值，作为此参数值。各特定参数皆完全独立变参。可独立手动指定的参数包括：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结点X坐标，结点Y坐标，单元刚度，支座约束（弹性支座），结点荷载作用结点，结点荷载作用方向，结点荷载值大小，单元荷载大小，单元荷载位置参数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题设参数不可手动设定。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175"/>
        <w:jc w:val="left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无论是自动还是手动变参，系统都会根据题目性质进行基本的协调性分析，可选参数若不能满足题目的基本设定，该组参数最终不会出现于题目界面，但系统计算可变参数目时（此数目【主讲教师】可见），并不会特别的判定并去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  <w:sectPr>
          <w:headerReference r:id="rId31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  <w:sectPr>
          <w:headerReference r:id="rId32" w:type="default"/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作业发布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作业发布包含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作业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测试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选定教学班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，进行作业发布。作业发布将作业数据直接发送至指定教学班学生ID，发布时未在此教学班的学生，即便以后加入本教学班，但对已发作业仍不可见。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【说明】作业发布内容必须是“已建题目”（分析演示模型没有题干信息，不能直接用于作业发布）。</w:t>
      </w:r>
    </w:p>
    <w:p>
      <w:pPr>
        <w:keepNext w:val="0"/>
        <w:keepLines w:val="0"/>
        <w:pageBreakBefore w:val="0"/>
        <w:widowControl w:val="0"/>
        <w:numPr>
          <w:ilvl w:val="0"/>
          <w:numId w:val="3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8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（1）内嵌题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系统提供多组阶段性内嵌题目。将持续扩充丰富。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870835" cy="967105"/>
            <wp:effectExtent l="9525" t="9525" r="15240" b="13970"/>
            <wp:docPr id="1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7"/>
                    <pic:cNvPicPr>
                      <a:picLocks noChangeAspect="1"/>
                    </pic:cNvPicPr>
                  </pic:nvPicPr>
                  <pic:blipFill>
                    <a:blip r:embed="rId222"/>
                    <a:srcRect t="2194" b="60929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96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（2）自选/自建题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也可使用“自选题”，在“阶段测试题库”、“模拟考试题库”中选择；主讲老师利用智能题库建设，并保存在“用户自建模型”中的题目，同样可进行作业发布。</w:t>
      </w:r>
    </w:p>
    <w:p>
      <w:pPr>
        <w:keepNext w:val="0"/>
        <w:keepLines w:val="0"/>
        <w:pageBreakBefore w:val="0"/>
        <w:widowControl w:val="0"/>
        <w:numPr>
          <w:ilvl w:val="0"/>
          <w:numId w:val="3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可对教学班内的学生进行特别指定，指定后，作业只发布给所选定学生，其余未选定学生不可见此作业（本功能可用于后加入教学班学生的作业补发）。</w:t>
      </w:r>
    </w:p>
    <w:p>
      <w:pPr>
        <w:keepNext w:val="0"/>
        <w:keepLines w:val="0"/>
        <w:pageBreakBefore w:val="0"/>
        <w:widowControl w:val="0"/>
        <w:numPr>
          <w:ilvl w:val="0"/>
          <w:numId w:val="3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发布设置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作业、考试、测试皆可设定相应时段，在设定时段内，学生才可在“我的作业”菜单中，看到发布的内容。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如果当前时间点在已发布“考试”、“测试”有效时段内，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默认进入“测试-考试”状态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。测试-考试状态下，其它有效时段内作业，也不可见。“测试-考试”状态下，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系统锁定本教学班“在校学生”除完成本次考试外的其它功能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。（目前环境不够完善，将限制测试时段内、主讲教师外一切用户的建模、分析功能）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【说明】系统按用户电脑和服务器时间双控，主讲教师有必要提醒学生进入测试前，确认用户电脑时间与互联网时间一致。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发布过程中，可继续修改题目、设定各小题分值。</w:t>
      </w:r>
    </w:p>
    <w:p>
      <w:pPr>
        <w:keepNext w:val="0"/>
        <w:keepLines w:val="0"/>
        <w:pageBreakBefore w:val="0"/>
        <w:widowControl w:val="0"/>
        <w:numPr>
          <w:ilvl w:val="0"/>
          <w:numId w:val="3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367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64135</wp:posOffset>
            </wp:positionV>
            <wp:extent cx="1565275" cy="1414780"/>
            <wp:effectExtent l="9525" t="9525" r="25400" b="23495"/>
            <wp:wrapSquare wrapText="bothSides"/>
            <wp:docPr id="1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8"/>
                    <pic:cNvPicPr>
                      <a:picLocks noChangeAspect="1"/>
                    </pic:cNvPicPr>
                  </pic:nvPicPr>
                  <pic:blipFill>
                    <a:blip r:embed="rId223"/>
                    <a:srcRect r="2028"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1414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作业默认时段为发布时点，持续时间为7天，老师可以修改。作业显示优先级低于测试和考试。在当前时点内若有测试或考试时，作业不显示。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作业每一次提交均会在本机生成作业报告。（学生检阅功能已基本健全，拟取消作业报告生成）</w:t>
      </w:r>
    </w:p>
    <w:p>
      <w:pPr>
        <w:keepNext w:val="0"/>
        <w:keepLines w:val="0"/>
        <w:pageBreakBefore w:val="0"/>
        <w:widowControl w:val="0"/>
        <w:numPr>
          <w:ilvl w:val="0"/>
          <w:numId w:val="3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测试发布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测试时段指学生可见本测试题的时间段（默认2天），测试持续时间指学生在测试时段内可操作的连续时间（默认100分钟），主讲教师可设置测试时段和测试持续时间。学生在测试时段内选择任一时点开始，开始测试后计时器将连续不中断（退出系统、不操作等，时间仍持续流逝），在测试持续时间结束或截止时间到达时，测试结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题目页点击测试题时，变参题会触发变参，每一次点击某题，都会变参生成一个新题。每一次提交，都会重新返回题目页面，因此提交前，应仔细检查答案。测试模式下变参题提交后不能返回检查（提交即变参），用以检测学生当前阶段对知识点掌握的熟悉程度。在此设定下，测试难度高于考试模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测试模式不在本机保存作业文件。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i/>
          <w:i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b/>
          <w:bCs/>
          <w:i/>
          <w:iCs/>
          <w:color w:val="5B9BD5" w:themeColor="accent1"/>
          <w:sz w:val="24"/>
          <w:szCs w:val="24"/>
          <w:lang w:val="en-US" w:eastAsia="zh-CN"/>
          <w14:textFill>
            <w14:solidFill>
              <w14:schemeClr w14:val="accent1"/>
            </w14:solidFill>
          </w14:textFill>
        </w:rPr>
        <w:t>是否采取措施避免学生在测试过程中故意刷题，如间隔20s才允许刷新。</w:t>
      </w:r>
    </w:p>
    <w:p>
      <w:pPr>
        <w:keepNext w:val="0"/>
        <w:keepLines w:val="0"/>
        <w:pageBreakBefore w:val="0"/>
        <w:widowControl w:val="0"/>
        <w:numPr>
          <w:ilvl w:val="0"/>
          <w:numId w:val="3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考试发布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考试默认时段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从发布时点起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，默认持续时间2小时，主讲教师可自定义修改。</w:t>
      </w:r>
    </w:p>
    <w:p>
      <w:pPr>
        <w:keepNext w:val="0"/>
        <w:keepLines w:val="0"/>
        <w:pageBreakBefore w:val="0"/>
        <w:widowControl w:val="0"/>
        <w:numPr>
          <w:ilvl w:val="0"/>
          <w:numId w:val="4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试题卷面在初次进入时自动变参生成（对变参题才变参，固参题不可变）；“作业刷新”将触发变参，生成全新卷面。</w:t>
      </w:r>
    </w:p>
    <w:p>
      <w:pPr>
        <w:keepNext w:val="0"/>
        <w:keepLines w:val="0"/>
        <w:pageBreakBefore w:val="0"/>
        <w:widowControl w:val="0"/>
        <w:numPr>
          <w:ilvl w:val="0"/>
          <w:numId w:val="4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考试时间内，自行或意外退出系统后再次进入，不会触发变参，卷面仍维持前次生成值，历史作答数据保留；</w:t>
      </w:r>
    </w:p>
    <w:p>
      <w:pPr>
        <w:keepNext w:val="0"/>
        <w:keepLines w:val="0"/>
        <w:pageBreakBefore w:val="0"/>
        <w:widowControl w:val="0"/>
        <w:numPr>
          <w:ilvl w:val="0"/>
          <w:numId w:val="4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点击变参题目，不会触发变参，并可重载历史作答数据；</w:t>
      </w:r>
    </w:p>
    <w:p>
      <w:pPr>
        <w:keepNext w:val="0"/>
        <w:keepLines w:val="0"/>
        <w:pageBreakBefore w:val="0"/>
        <w:widowControl w:val="0"/>
        <w:numPr>
          <w:ilvl w:val="0"/>
          <w:numId w:val="4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保存结果，不会触发变参。（考试时，对每小题只有保存，提交意味着交卷，结束考试状态）</w:t>
      </w:r>
    </w:p>
    <w:p>
      <w:pPr>
        <w:keepNext w:val="0"/>
        <w:keepLines w:val="0"/>
        <w:pageBreakBefore w:val="0"/>
        <w:widowControl w:val="0"/>
        <w:numPr>
          <w:ilvl w:val="0"/>
          <w:numId w:val="4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考试时间截止时，若为在线状态，则自动提交；若非在线，则在下一次登录时，完成提交。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以上设定便于学生全面检查、修改和重作，整体流程和节奏同传统考试。除非学生自行点击“作业刷新”，才会</w:t>
      </w:r>
      <w:r>
        <w:rPr>
          <w:rFonts w:hint="eastAsia" w:ascii="宋体" w:hAnsi="宋体" w:eastAsia="宋体" w:cs="宋体"/>
          <w:b/>
          <w:bCs/>
          <w:strike w:val="0"/>
          <w:dstrike w:val="0"/>
          <w:color w:val="0000FF"/>
          <w:sz w:val="24"/>
          <w:szCs w:val="24"/>
          <w:lang w:val="en-US" w:eastAsia="zh-CN"/>
        </w:rPr>
        <w:t>对所有变参题目同时</w:t>
      </w: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触发变参，但此时会清理掉所有已经保存数据，全部试题均应重作。（考虑时间因素，此操作并不建议在考试中途实施）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每一题完成时，可“暂存”，对于综合题，对过程步也会阶段性暂存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学生端于考试前两分钟可见原始考试题单（原始题单为母题，开始考试后才会生成试题卷面），考试时段内才允许作业交互。考试时段严格依据服务器时间进行检测。系统超时会中止并自动提交。允许学生提出证据申诉（学生超时仍可本地保存，特殊情况下，老师可人工计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服务器不可能绝对稳定，测试考试中有一定概率出现意外，允许学生在考试结束后，提供本地保存的电子文档（已加密，学生不能修改和编辑，否则认同无效），作为成绩计算依据。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4"/>
          <w:szCs w:val="24"/>
          <w:lang w:val="en-US" w:eastAsia="zh-CN"/>
        </w:rPr>
        <w:t>【说明】系统无监考功能，主讲教师需自行考虑监考机制。</w:t>
      </w:r>
    </w:p>
    <w:p>
      <w:pPr>
        <w:keepNext w:val="0"/>
        <w:keepLines w:val="0"/>
        <w:pageBreakBefore w:val="0"/>
        <w:widowControl w:val="0"/>
        <w:numPr>
          <w:ilvl w:val="0"/>
          <w:numId w:val="3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批阅模式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主讲老师可根据教学阶段、学生特征等需要，设置题目的“作业批阅模式”</w:t>
      </w:r>
    </w:p>
    <w:p>
      <w:pPr>
        <w:keepNext w:val="0"/>
        <w:keepLines w:val="0"/>
        <w:pageBreakBefore w:val="0"/>
        <w:widowControl w:val="0"/>
        <w:numPr>
          <w:ilvl w:val="0"/>
          <w:numId w:val="4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对于考试或测试状态下，不需设置批阅模式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按考试和测试模式发布的，批阅模式不受建题过程中设置批阅模式的控制，自动修改为考试模式，学生端除显示提交状态（成功/失败），无其它反馈。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26670</wp:posOffset>
            </wp:positionV>
            <wp:extent cx="1629410" cy="929005"/>
            <wp:effectExtent l="9525" t="9525" r="18415" b="13970"/>
            <wp:wrapSquare wrapText="bothSides"/>
            <wp:docPr id="1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"/>
                    <pic:cNvPicPr>
                      <a:picLocks noChangeAspect="1"/>
                    </pic:cNvPicPr>
                  </pic:nvPicPr>
                  <pic:blipFill>
                    <a:blip r:embed="rId224"/>
                    <a:srcRect l="6585" r="6900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929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为避免智能系统自动批阅的可能错漏，SMIA测试-考试批阅执行双向审核，教师和学生均可查阅（学生只能在测试-考试进程结束后才可查阅），确保评阅结果的绝对准确。</w:t>
      </w:r>
    </w:p>
    <w:p>
      <w:pPr>
        <w:keepNext w:val="0"/>
        <w:keepLines w:val="0"/>
        <w:pageBreakBefore w:val="0"/>
        <w:widowControl w:val="0"/>
        <w:numPr>
          <w:ilvl w:val="0"/>
          <w:numId w:val="4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批阅模式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对平时作业，可设置四类</w:t>
      </w:r>
    </w:p>
    <w:p>
      <w:pPr>
        <w:keepNext w:val="0"/>
        <w:keepLines w:val="0"/>
        <w:pageBreakBefore w:val="0"/>
        <w:widowControl w:val="0"/>
        <w:numPr>
          <w:ilvl w:val="0"/>
          <w:numId w:val="4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自测模式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本模式检测学生阶段能力水平。除得分外，学生端再无其它评阅结果反馈。即没有作业过程辅助和作业结果检测，保证作业过程最大程度流畅性。</w:t>
      </w:r>
    </w:p>
    <w:p>
      <w:pPr>
        <w:keepNext w:val="0"/>
        <w:keepLines w:val="0"/>
        <w:pageBreakBefore w:val="0"/>
        <w:widowControl w:val="0"/>
        <w:numPr>
          <w:ilvl w:val="0"/>
          <w:numId w:val="4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引导模式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本模式对初学者提供相对详细的学习引导，对每一操作步进行评判，学生每一步操作均会判别正误，若有错误，会立即反馈并要求学生修改，直到本步正确，才能进入后续操作。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几何组成交互分析的引导模式，是对每一操作步进行错误检测；对于其余主观交互作业题，为保证操作流畅和概念学习完整，操作步放大至作业过程的阶段，每一阶段完成时才作错误检测。</w:t>
      </w:r>
    </w:p>
    <w:p>
      <w:pPr>
        <w:keepNext w:val="0"/>
        <w:keepLines w:val="0"/>
        <w:pageBreakBefore w:val="0"/>
        <w:widowControl w:val="0"/>
        <w:numPr>
          <w:ilvl w:val="0"/>
          <w:numId w:val="4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粗阅模式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本模式在学习过程中减少对学生的过程辅助，以训练和培养学生谨慎作业和思维。结合变参题设，可以加强作业深度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trike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/>
          <w:dstrike w:val="0"/>
          <w:color w:val="0000FF"/>
          <w:sz w:val="24"/>
          <w:szCs w:val="24"/>
          <w:lang w:val="en-US" w:eastAsia="zh-CN"/>
        </w:rPr>
        <w:t>几何组成分析</w:t>
      </w:r>
      <w:r>
        <w:rPr>
          <w:rFonts w:hint="eastAsia" w:ascii="宋体" w:hAnsi="宋体" w:eastAsia="宋体" w:cs="宋体"/>
          <w:b/>
          <w:bCs/>
          <w:strike/>
          <w:dstrike w:val="0"/>
          <w:sz w:val="24"/>
          <w:szCs w:val="24"/>
          <w:lang w:val="en-US" w:eastAsia="zh-CN"/>
        </w:rPr>
        <w:t>作业报告只会提供错误操作提示，不对最后结论进行提示性的评判；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trike/>
          <w:dstrike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/>
          <w:dstrike w:val="0"/>
          <w:color w:val="0000FF"/>
          <w:sz w:val="24"/>
          <w:szCs w:val="24"/>
          <w:lang w:val="en-US" w:eastAsia="zh-CN"/>
        </w:rPr>
        <w:t>内力图绘制</w:t>
      </w:r>
      <w:r>
        <w:rPr>
          <w:rFonts w:hint="eastAsia" w:ascii="宋体" w:hAnsi="宋体" w:eastAsia="宋体" w:cs="宋体"/>
          <w:b/>
          <w:bCs/>
          <w:strike/>
          <w:dstrike w:val="0"/>
          <w:sz w:val="24"/>
          <w:szCs w:val="24"/>
          <w:lang w:val="en-US" w:eastAsia="zh-CN"/>
        </w:rPr>
        <w:t>，提交后才给出阴影显示学生错误位置，不允许学生在作业过程中修改。</w:t>
      </w:r>
    </w:p>
    <w:p>
      <w:pPr>
        <w:keepNext w:val="0"/>
        <w:keepLines w:val="0"/>
        <w:pageBreakBefore w:val="0"/>
        <w:widowControl w:val="0"/>
        <w:numPr>
          <w:ilvl w:val="0"/>
          <w:numId w:val="4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精阅模式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内力图绘制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，提交后给出正确的内力图形状，不允许学生在作业过程中修改。</w:t>
      </w:r>
    </w:p>
    <w:p>
      <w:pPr>
        <w:keepNext w:val="0"/>
        <w:keepLines w:val="0"/>
        <w:pageBreakBefore w:val="0"/>
        <w:widowControl w:val="0"/>
        <w:numPr>
          <w:ilvl w:val="0"/>
          <w:numId w:val="4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特别设定</w:t>
      </w:r>
    </w:p>
    <w:p>
      <w:pPr>
        <w:keepNext w:val="0"/>
        <w:keepLines w:val="0"/>
        <w:pageBreakBefore w:val="0"/>
        <w:widowControl w:val="0"/>
        <w:numPr>
          <w:ilvl w:val="0"/>
          <w:numId w:val="4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提交即强制变参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学生提交作业成功时，操作区和菜单区将隐藏，即给学生反馈批阅结果，无法在原题参数基础上执行局部修改式的继续操作。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对变参题目（包括模型变参和题干变参），再进入本题，参数会随机改变。学生不能直接获取高分，保证以知识点概念的充分掌握。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对于模型和题干均固参的习题，再次进入本题参数仍完全相同，此设置不起作用。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截面内力计算的填空题，如果老师无特别要求，对截面内力计算的填空题，系统默认提交时不变参，提交按钮淡显，可在树结点区域点击“填空”，系统不变参重新开启提交按钮。但若从作业页面再次点击进入，系统仍作变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对其它主观题（变参后计算量小，一般是概念性判定，为避免学生试错性作业），默认提交即变参。</w:t>
      </w:r>
    </w:p>
    <w:p>
      <w:pPr>
        <w:keepNext w:val="0"/>
        <w:keepLines w:val="0"/>
        <w:pageBreakBefore w:val="0"/>
        <w:widowControl w:val="0"/>
        <w:numPr>
          <w:ilvl w:val="0"/>
          <w:numId w:val="4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取消模型变参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强制只使用母题参数，对于模型变参题目，即使提交后再次进入，也不会改变题目的模型参数。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在有题干变参的题目中，由于所建智能题干可能未作任何固定约束，为保证题目分析的有效，本设置对题干变参不起作用，非固定式题干再次进入后，题干仍会智能变化。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本设置是让学生拿到完全相同参数的题目，主讲老师可以更好评价学生之间的学习差距。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420" w:firstLineChars="0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7140" w:leftChars="0"/>
        <w:rPr>
          <w:rFonts w:hint="default"/>
          <w:b/>
          <w:bCs/>
          <w:sz w:val="40"/>
          <w:szCs w:val="48"/>
          <w:lang w:val="en-US" w:eastAsia="zh-CN"/>
        </w:rPr>
      </w:pPr>
    </w:p>
    <w:p>
      <w:pPr>
        <w:numPr>
          <w:ilvl w:val="0"/>
          <w:numId w:val="5"/>
        </w:numPr>
        <w:ind w:left="0" w:leftChars="0" w:hanging="19" w:firstLineChars="0"/>
        <w:jc w:val="center"/>
        <w:rPr>
          <w:rFonts w:hint="eastAsia"/>
          <w:b/>
          <w:bCs/>
          <w:sz w:val="72"/>
          <w:szCs w:val="144"/>
          <w:lang w:val="en-US" w:eastAsia="zh-CN"/>
        </w:rPr>
      </w:pPr>
      <w:r>
        <w:rPr>
          <w:rFonts w:hint="eastAsia"/>
          <w:b/>
          <w:bCs/>
          <w:sz w:val="72"/>
          <w:szCs w:val="144"/>
          <w:lang w:val="en-US" w:eastAsia="zh-CN"/>
        </w:rPr>
        <w:t>教学管理</w:t>
      </w:r>
    </w:p>
    <w:p>
      <w:pPr>
        <w:numPr>
          <w:ilvl w:val="0"/>
          <w:numId w:val="0"/>
        </w:numPr>
        <w:ind w:left="3154" w:leftChars="1502" w:right="1136" w:rightChars="541" w:firstLine="0" w:firstLineChars="0"/>
        <w:jc w:val="both"/>
        <w:rPr>
          <w:rFonts w:hint="default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FF"/>
          <w:sz w:val="52"/>
          <w:szCs w:val="72"/>
          <w:lang w:val="en-US" w:eastAsia="zh-CN"/>
        </w:rPr>
        <w:t>班级、学生管理，教学数据分析</w:t>
      </w:r>
    </w:p>
    <w:p>
      <w:pPr>
        <w:numPr>
          <w:ilvl w:val="0"/>
          <w:numId w:val="34"/>
        </w:numPr>
        <w:adjustRightInd w:val="0"/>
        <w:snapToGrid w:val="0"/>
        <w:spacing w:line="360" w:lineRule="auto"/>
        <w:ind w:left="420" w:leftChars="0" w:firstLine="672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班级管理</w:t>
      </w:r>
    </w:p>
    <w:p>
      <w:pPr>
        <w:numPr>
          <w:ilvl w:val="0"/>
          <w:numId w:val="34"/>
        </w:numPr>
        <w:adjustRightInd w:val="0"/>
        <w:snapToGrid w:val="0"/>
        <w:spacing w:line="360" w:lineRule="auto"/>
        <w:ind w:left="420" w:leftChars="0" w:firstLine="6720" w:firstLineChars="0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数据统计</w:t>
      </w:r>
    </w:p>
    <w:p>
      <w:pPr>
        <w:numPr>
          <w:ilvl w:val="0"/>
          <w:numId w:val="34"/>
        </w:numPr>
        <w:adjustRightInd w:val="0"/>
        <w:snapToGrid w:val="0"/>
        <w:spacing w:line="360" w:lineRule="auto"/>
        <w:ind w:left="420" w:leftChars="0" w:firstLine="6720" w:firstLineChars="0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数据导出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840" w:leftChars="0" w:firstLine="2327" w:firstLineChars="322"/>
        <w:jc w:val="left"/>
        <w:textAlignment w:val="auto"/>
        <w:rPr>
          <w:rFonts w:hint="eastAsia" w:ascii="宋体" w:hAnsi="宋体" w:eastAsia="宋体" w:cs="宋体"/>
          <w:b/>
          <w:bCs/>
          <w:color w:val="5B9BD5" w:themeColor="accent1"/>
          <w:sz w:val="72"/>
          <w:szCs w:val="72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="7140" w:leftChars="0"/>
        <w:rPr>
          <w:rFonts w:hint="default"/>
          <w:b/>
          <w:bCs/>
          <w:sz w:val="40"/>
          <w:szCs w:val="48"/>
          <w:lang w:val="en-US" w:eastAsia="zh-CN"/>
        </w:rPr>
        <w:sectPr>
          <w:headerReference r:id="rId33" w:type="default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班级管理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0" w:leftChars="0" w:firstLine="0" w:firstLineChars="0"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班级管理功能包括班级管理、学生管理</w:t>
      </w:r>
    </w:p>
    <w:p>
      <w:pPr>
        <w:keepNext w:val="0"/>
        <w:keepLines w:val="0"/>
        <w:pageBreakBefore w:val="0"/>
        <w:widowControl w:val="0"/>
        <w:numPr>
          <w:ilvl w:val="0"/>
          <w:numId w:val="4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班级管理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输入班级名称，点击保存，可完成班级新建；系统未对班级名称作“重复性”检查，主讲教师注意取教学班名称时，可增加学期、年级、专业等命名，以区分不同教学班。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教学班规模目前不作限制。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主讲教师同时有多个教学班授课时，若教学进度一致，要求也相同，可合并为同一教学班，以简化作业、测试的发布与管理。若教学数据需要分别采集，也可分设为多个教学班。</w:t>
      </w:r>
    </w:p>
    <w:p>
      <w:pPr>
        <w:keepNext w:val="0"/>
        <w:keepLines w:val="0"/>
        <w:pageBreakBefore w:val="0"/>
        <w:widowControl w:val="0"/>
        <w:numPr>
          <w:ilvl w:val="0"/>
          <w:numId w:val="4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角色切换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主讲教师在发布作业时，见到的仅是题目“原型”，由于题目存在变参可能，老师也需要从学生角度感觉题目发布后状态。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系统提供“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角色切换功能”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，主讲教师在班级管理模块内，对自己所建班级，可以生成“学生”角色。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在下图所示位置红框位置单击，可生成主讲老师在“本教学班”的学生帐号。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生成学生角色后，系统会自动返回主界面，老师可至“帮助”菜单进行角色切换。以从学生视角观察所发布的作业，也可以学生角色进行交互作业、提交、查阅。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704590" cy="1544320"/>
            <wp:effectExtent l="9525" t="9525" r="19685" b="27305"/>
            <wp:docPr id="1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7"/>
                    <pic:cNvPicPr>
                      <a:picLocks noChangeAspect="1"/>
                    </pic:cNvPicPr>
                  </pic:nvPicPr>
                  <pic:blipFill>
                    <a:blip r:embed="rId225"/>
                    <a:srcRect r="5115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154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老师有多个教学班时，应注意，每次生成的学生角色，仅对应于所点击的教学班。若需切换至其它教学班的学生身份，应重新在“主讲教师”状态下，在对应教学班操作生成。</w:t>
      </w:r>
    </w:p>
    <w:p>
      <w:pPr>
        <w:keepNext w:val="0"/>
        <w:keepLines w:val="0"/>
        <w:pageBreakBefore w:val="0"/>
        <w:widowControl w:val="0"/>
        <w:numPr>
          <w:ilvl w:val="0"/>
          <w:numId w:val="4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将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em w:val="dot"/>
          <w:lang w:val="en-US" w:eastAsia="zh-CN"/>
        </w:rPr>
        <w:t>已注册用户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的电话号码导入，即将其纳入教学班管理。已注册电话号码可逐一导入，也可用文本方式统一导入。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学生必须在导入前，完成软件注册。未在注册用户数据库内的电话号码，无法导入教学班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使用文件方式，可将包含教学班所有学生电话号码信息的文档，如EXCEL等格式的名册，转存为“*.TXT”文件，再从系统导入此TXT文件。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TXT文件无需过多整理，系统只读取其中以1开头的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每一连续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11位数字，识别其为可能的电话号码，并与注册用户库中注册电话号码比对，匹配成功则将电话号码对应的用户ID加入教学班。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TXT文件中其它无用字符皆无需删除（无用字符信息用作物理分隔，可增加识别成功度，除非文件中存在以1开始的连续11及以上数位其它意义数据，则需特别删除），【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电话号码数必须连续，最好前有非数字字符】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Chars="0"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34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导入信息仅为电话号码，而学生的姓名、学号等信息，需要学生自行在系统的“个人信息”中添加。（建议要求学生，在老师将信息导入班级前完成个人信息的补充添加，以更好检查导入学生信息的准确性）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35" w:type="default"/>
          <w:type w:val="continuous"/>
          <w:pgSz w:w="16838" w:h="11906" w:orient="landscape"/>
          <w:pgMar w:top="1800" w:right="1440" w:bottom="1800" w:left="144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数据统计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对当前正在管理的教学班，进行数据统计。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进入“作业评阅”，选择对应的教学班（主讲教师自己所建），会显示教学班相关信息，同时显示该教学班的学生列表和已发布的作业列表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821690" cy="932180"/>
            <wp:effectExtent l="9525" t="9525" r="26035" b="10795"/>
            <wp:docPr id="1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1"/>
                    <pic:cNvPicPr>
                      <a:picLocks noChangeAspect="1"/>
                    </pic:cNvPicPr>
                  </pic:nvPicPr>
                  <pic:blipFill>
                    <a:blip r:embed="rId226"/>
                    <a:srcRect l="6593" t="2722" r="89493" b="81485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932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05150" cy="581025"/>
            <wp:effectExtent l="0" t="0" r="0" b="952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一、统计分析对象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学生提交所有作业，皆可进行统计分析。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学生列表，操作支持：</w:t>
      </w:r>
    </w:p>
    <w:p>
      <w:pPr>
        <w:keepNext w:val="0"/>
        <w:keepLines w:val="0"/>
        <w:pageBreakBefore w:val="0"/>
        <w:widowControl w:val="0"/>
        <w:numPr>
          <w:ilvl w:val="0"/>
          <w:numId w:val="4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点列头排序(升序/降序，序号列除外)</w:t>
      </w:r>
    </w:p>
    <w:p>
      <w:pPr>
        <w:keepNext w:val="0"/>
        <w:keepLines w:val="0"/>
        <w:pageBreakBefore w:val="0"/>
        <w:widowControl w:val="0"/>
        <w:numPr>
          <w:ilvl w:val="0"/>
          <w:numId w:val="4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点表头（最左上角表格）全选教学班学生</w:t>
      </w:r>
    </w:p>
    <w:p>
      <w:pPr>
        <w:keepNext w:val="0"/>
        <w:keepLines w:val="0"/>
        <w:pageBreakBefore w:val="0"/>
        <w:widowControl w:val="0"/>
        <w:numPr>
          <w:ilvl w:val="0"/>
          <w:numId w:val="4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某行头单击，只选择一个学生对象</w:t>
      </w:r>
    </w:p>
    <w:p>
      <w:pPr>
        <w:keepNext w:val="0"/>
        <w:keepLines w:val="0"/>
        <w:pageBreakBefore w:val="0"/>
        <w:widowControl w:val="0"/>
        <w:numPr>
          <w:ilvl w:val="0"/>
          <w:numId w:val="4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Ctrl+行头单击，可多行跳选，选中多个学生</w:t>
      </w:r>
    </w:p>
    <w:p>
      <w:pPr>
        <w:keepNext w:val="0"/>
        <w:keepLines w:val="0"/>
        <w:pageBreakBefore w:val="0"/>
        <w:widowControl w:val="0"/>
        <w:numPr>
          <w:ilvl w:val="0"/>
          <w:numId w:val="4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行头点击后左键上下拖动，相邻多行选中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作业列表，操作支持</w:t>
      </w:r>
    </w:p>
    <w:p>
      <w:pPr>
        <w:keepNext w:val="0"/>
        <w:keepLines w:val="0"/>
        <w:pageBreakBefore w:val="0"/>
        <w:widowControl w:val="0"/>
        <w:numPr>
          <w:ilvl w:val="0"/>
          <w:numId w:val="4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作业选择，只能单选</w:t>
      </w:r>
    </w:p>
    <w:p>
      <w:pPr>
        <w:keepNext w:val="0"/>
        <w:keepLines w:val="0"/>
        <w:pageBreakBefore w:val="0"/>
        <w:widowControl w:val="0"/>
        <w:numPr>
          <w:ilvl w:val="0"/>
          <w:numId w:val="4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 w:firstLine="422" w:firstLineChars="175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习题选择，只能单选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系统根据以上二项综合，在右侧对综合情况或个体情况进行作业评阅结果输出。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二、统计分析结果</w:t>
      </w:r>
    </w:p>
    <w:p>
      <w:pPr>
        <w:keepNext w:val="0"/>
        <w:keepLines w:val="0"/>
        <w:pageBreakBefore w:val="0"/>
        <w:widowControl w:val="0"/>
        <w:numPr>
          <w:ilvl w:val="0"/>
          <w:numId w:val="4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模型图形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单学生&amp;单习题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”评阅时，可在右上模型框中，察看原模型图、学生作业中提交的内力图等图形信息。同时提供正确内力图的形状作比对。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对“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多学生&amp;单习题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评阅时，若题目为变参，由于模型皆不相同，右上模型图只显示母题，主讲教师需注意，此母题不能对应于每一学生拿到的具体参数。若“多学生&amp;单习题”为固参，仍显示固参模型图（本功能未完善，目前皆不显图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对某次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作业整体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评阅，若作业中有多个习题，模型处不再显示图形，而显示所选择学生的综合统计信息。</w:t>
      </w:r>
    </w:p>
    <w:p>
      <w:pPr>
        <w:keepNext w:val="0"/>
        <w:keepLines w:val="0"/>
        <w:pageBreakBefore w:val="0"/>
        <w:widowControl w:val="0"/>
        <w:numPr>
          <w:ilvl w:val="0"/>
          <w:numId w:val="4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知识点评阅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在右下侧文本框中，将对学生的所有操作进行统计，老师可以从中获取对教学有重要价值的信息。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知识点完善了几何组成分析和内力图绘制两节基础内容，后续内容继续补充中（未补充完善的，目前提供阶段性评价）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【说明】当前分，是指学生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已经提交作业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的平均得分，暂未提交作业不在此列统计；平均分，则对本次作业所有习题的得分统计，包括了未提交作业。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右上角有两个按钮，可导出所选择教学班的当次作业，所选择教学班的所有作业。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jc w:val="center"/>
        <w:textAlignment w:val="auto"/>
      </w:pPr>
      <w:r>
        <w:drawing>
          <wp:inline distT="0" distB="0" distL="114300" distR="114300">
            <wp:extent cx="2924175" cy="571500"/>
            <wp:effectExtent l="9525" t="9525" r="19050" b="9525"/>
            <wp:docPr id="1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3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71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导出作业默认为XML格式，存贮于程序文件夹内，此文件可直接拖入已经打开的任一OFFICE下EXCEL、或WPS的表格文件中。拖入后，新生成一表格文件，主讲教师可对作业成绩按需统计。导出数据只有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习题&amp;作业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成绩得分。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【说明】导出的表格文件，其中数据为文本字符格式，统计前请统一修改为数值格式。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left="420"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批阅报告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对批阅的作业，系统自动生成相应的批阅报告。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批阅报告将学生作业内容细化为多个知识点，并对每一涉及到的知识点的正确率进行统计。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批阅报告在系统的作业评阅中以多行文本的方式提供，主讲教师可以复制用于其它用途。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="157" w:afterLines="50" w:line="24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36" w:type="default"/>
          <w:pgSz w:w="16838" w:h="11906" w:orient="landscape"/>
          <w:pgMar w:top="1800" w:right="1440" w:bottom="1800" w:left="1440" w:header="851" w:footer="992" w:gutter="0"/>
          <w:pgNumType w:fmt="decimal"/>
          <w:cols w:equalWidth="0" w:num="2">
            <w:col w:w="6766" w:space="425"/>
            <w:col w:w="6766"/>
          </w:cols>
          <w:docGrid w:type="lines" w:linePitch="312" w:charSpace="0"/>
        </w:sectPr>
      </w:pPr>
    </w:p>
    <w:p>
      <w:pPr>
        <w:numPr>
          <w:ilvl w:val="0"/>
          <w:numId w:val="0"/>
        </w:numPr>
        <w:adjustRightInd w:val="0"/>
        <w:snapToGrid w:val="0"/>
        <w:spacing w:line="240" w:lineRule="auto"/>
        <w:ind w:left="0" w:leftChars="0"/>
        <w:rPr>
          <w:rFonts w:hint="default"/>
          <w:b/>
          <w:bCs/>
          <w:sz w:val="40"/>
          <w:szCs w:val="48"/>
          <w:lang w:val="en-US" w:eastAsia="zh-CN"/>
        </w:rPr>
      </w:pPr>
      <w:bookmarkStart w:id="0" w:name="_GoBack"/>
      <w:bookmarkEnd w:id="0"/>
    </w:p>
    <w:sectPr>
      <w:headerReference r:id="rId37" w:type="default"/>
      <w:type w:val="continuous"/>
      <w:pgSz w:w="16838" w:h="11906" w:orient="landscape"/>
      <w:pgMar w:top="709" w:right="850" w:bottom="709" w:left="85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8" name="文本框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teHZ4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C3qbphGxU8/vp9+&#10;Ppx+fSM4g0CNCzPE3TtExvadbdE2w3nAYeLdVl6nLxgR+CHv8SKvaCPh6dJ0Mp3mcHH4hg3ws8fr&#10;zof4XlhNklFQj/p1srLDJsQ+dAhJ2YxdS6W6GipDmoJevX6T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teHZ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  <w:rPr>
        <w:rFonts w:hint="default" w:eastAsiaTheme="minorEastAsia"/>
        <w:lang w:val="en-US" w:eastAsia="zh-CN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SMIA-位移法交互渐近分析演示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SMIA-力矩分配法全过程分析演示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SMIA-自由振动分析演示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SMIA-强迫振动分析演示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SMIA-空间杆系结构动力演示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eastAsia"/>
        <w:b/>
        <w:bCs/>
        <w:lang w:eastAsia="zh-CN"/>
      </w:rPr>
    </w:pPr>
    <w:r>
      <w:rPr>
        <w:rFonts w:hint="eastAsia"/>
        <w:b/>
        <w:bCs/>
        <w:lang w:val="en-US" w:eastAsia="zh-CN"/>
      </w:rPr>
      <w:t>SMIA-</w:t>
    </w:r>
    <w:r>
      <w:rPr>
        <w:rFonts w:hint="eastAsia"/>
        <w:b/>
        <w:bCs/>
        <w:lang w:eastAsia="zh-CN"/>
      </w:rPr>
      <w:t>几何组成</w:t>
    </w:r>
    <w:r>
      <w:rPr>
        <w:rFonts w:hint="eastAsia"/>
        <w:b/>
        <w:bCs/>
        <w:lang w:val="en-US" w:eastAsia="zh-CN"/>
      </w:rPr>
      <w:t>交互</w:t>
    </w:r>
    <w:r>
      <w:rPr>
        <w:rFonts w:hint="eastAsia"/>
        <w:b/>
        <w:bCs/>
        <w:lang w:eastAsia="zh-CN"/>
      </w:rPr>
      <w:t>分析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SMIA-内力图交互绘制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SMIA-指定截面内力、指定支座反力交互作业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eastAsia"/>
        <w:lang w:val="en-US" w:eastAsia="zh-CN"/>
      </w:rPr>
    </w:pPr>
    <w:r>
      <w:rPr>
        <w:rFonts w:hint="eastAsia"/>
        <w:lang w:val="en-US" w:eastAsia="zh-CN"/>
      </w:rPr>
      <w:t>SMIA-总则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SMIA-图乘法计算位移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SMIA-静定结构支移作用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SMIA-静定结构温变作用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SMIA-荷载作用下力法交互作业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SMIA-位移法交互作业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SMIA-力矩分配法交互作业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SMIA-计算前简化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lang w:val="en-US" w:eastAsia="zh-CN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SMIA-智能题库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SMIA-作业发布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lang w:val="en-US" w:eastAsia="zh-CN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default"/>
        <w:lang w:val="en-US" w:eastAsia="zh-CN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SMIA-班级管理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SMIA-作业发布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SMIA-数据统计</w:t>
    </w:r>
  </w:p>
  <w:p>
    <w:pPr>
      <w:pStyle w:val="5"/>
      <w:jc w:val="right"/>
      <w:rPr>
        <w:rFonts w:hint="default"/>
        <w:lang w:val="en-US" w:eastAsia="zh-CN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lang w:val="en-US" w:eastAsia="zh-C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eastAsia"/>
        <w:lang w:val="en-US" w:eastAsia="zh-CN"/>
      </w:rPr>
    </w:pPr>
    <w:r>
      <w:rPr>
        <w:rFonts w:hint="eastAsia"/>
        <w:lang w:val="en-US" w:eastAsia="zh-CN"/>
      </w:rPr>
      <w:t>SMIA-模型生成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SMIA-分析显示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SMIA-力法全过程分析演示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4" w:space="1"/>
      </w:pBdr>
      <w:jc w:val="right"/>
      <w:rPr>
        <w:rFonts w:hint="default"/>
        <w:lang w:val="en-US" w:eastAsia="zh-CN"/>
      </w:rPr>
    </w:pPr>
    <w:r>
      <w:rPr>
        <w:rFonts w:hint="eastAsia"/>
        <w:lang w:val="en-US" w:eastAsia="zh-CN"/>
      </w:rPr>
      <w:t>SMIA-位移法全自动分析演示</w:t>
    </w:r>
  </w:p>
  <w:p>
    <w:pPr>
      <w:pStyle w:val="5"/>
      <w:pBdr>
        <w:bottom w:val="none" w:color="auto" w:sz="0" w:space="1"/>
      </w:pBdr>
      <w:jc w:val="right"/>
      <w:rPr>
        <w:rFonts w:hint="default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3D7817"/>
    <w:multiLevelType w:val="singleLevel"/>
    <w:tmpl w:val="833D781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4ADF670"/>
    <w:multiLevelType w:val="singleLevel"/>
    <w:tmpl w:val="84ADF67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8511C0A6"/>
    <w:multiLevelType w:val="singleLevel"/>
    <w:tmpl w:val="8511C0A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60FA0E9"/>
    <w:multiLevelType w:val="singleLevel"/>
    <w:tmpl w:val="860FA0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929D756E"/>
    <w:multiLevelType w:val="singleLevel"/>
    <w:tmpl w:val="929D756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9825D370"/>
    <w:multiLevelType w:val="singleLevel"/>
    <w:tmpl w:val="9825D37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9DA2F0C2"/>
    <w:multiLevelType w:val="singleLevel"/>
    <w:tmpl w:val="9DA2F0C2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A103D35F"/>
    <w:multiLevelType w:val="singleLevel"/>
    <w:tmpl w:val="A103D35F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ACA31616"/>
    <w:multiLevelType w:val="singleLevel"/>
    <w:tmpl w:val="ACA31616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B3912289"/>
    <w:multiLevelType w:val="singleLevel"/>
    <w:tmpl w:val="B391228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0">
    <w:nsid w:val="B4B253DB"/>
    <w:multiLevelType w:val="singleLevel"/>
    <w:tmpl w:val="B4B253DB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B512B81C"/>
    <w:multiLevelType w:val="singleLevel"/>
    <w:tmpl w:val="B512B8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BE053FE1"/>
    <w:multiLevelType w:val="singleLevel"/>
    <w:tmpl w:val="BE053FE1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C5D12A92"/>
    <w:multiLevelType w:val="singleLevel"/>
    <w:tmpl w:val="C5D12A9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4">
    <w:nsid w:val="CE295D57"/>
    <w:multiLevelType w:val="singleLevel"/>
    <w:tmpl w:val="CE295D5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5">
    <w:nsid w:val="D0F06E70"/>
    <w:multiLevelType w:val="singleLevel"/>
    <w:tmpl w:val="D0F06E7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D239AB00"/>
    <w:multiLevelType w:val="singleLevel"/>
    <w:tmpl w:val="D239AB00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E7DC6C5D"/>
    <w:multiLevelType w:val="singleLevel"/>
    <w:tmpl w:val="E7DC6C5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8">
    <w:nsid w:val="EABE1BDD"/>
    <w:multiLevelType w:val="singleLevel"/>
    <w:tmpl w:val="EABE1BD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9">
    <w:nsid w:val="EC0989BE"/>
    <w:multiLevelType w:val="singleLevel"/>
    <w:tmpl w:val="EC0989BE"/>
    <w:lvl w:ilvl="0" w:tentative="0">
      <w:start w:val="1"/>
      <w:numFmt w:val="decimal"/>
      <w:suff w:val="nothing"/>
      <w:lvlText w:val="（%1）"/>
      <w:lvlJc w:val="left"/>
    </w:lvl>
  </w:abstractNum>
  <w:abstractNum w:abstractNumId="20">
    <w:nsid w:val="EF7D0676"/>
    <w:multiLevelType w:val="singleLevel"/>
    <w:tmpl w:val="EF7D0676"/>
    <w:lvl w:ilvl="0" w:tentative="0">
      <w:start w:val="1"/>
      <w:numFmt w:val="decimal"/>
      <w:suff w:val="nothing"/>
      <w:lvlText w:val="（%1）"/>
      <w:lvlJc w:val="left"/>
    </w:lvl>
  </w:abstractNum>
  <w:abstractNum w:abstractNumId="21">
    <w:nsid w:val="F6B6301E"/>
    <w:multiLevelType w:val="singleLevel"/>
    <w:tmpl w:val="F6B630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2">
    <w:nsid w:val="F83F1291"/>
    <w:multiLevelType w:val="singleLevel"/>
    <w:tmpl w:val="F83F1291"/>
    <w:lvl w:ilvl="0" w:tentative="0">
      <w:start w:val="1"/>
      <w:numFmt w:val="decimal"/>
      <w:suff w:val="nothing"/>
      <w:lvlText w:val="（%1）"/>
      <w:lvlJc w:val="left"/>
    </w:lvl>
  </w:abstractNum>
  <w:abstractNum w:abstractNumId="23">
    <w:nsid w:val="F84CE614"/>
    <w:multiLevelType w:val="singleLevel"/>
    <w:tmpl w:val="F84CE614"/>
    <w:lvl w:ilvl="0" w:tentative="0">
      <w:start w:val="1"/>
      <w:numFmt w:val="decimal"/>
      <w:suff w:val="nothing"/>
      <w:lvlText w:val="（%1）"/>
      <w:lvlJc w:val="left"/>
    </w:lvl>
  </w:abstractNum>
  <w:abstractNum w:abstractNumId="24">
    <w:nsid w:val="04A04F10"/>
    <w:multiLevelType w:val="singleLevel"/>
    <w:tmpl w:val="04A04F1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5">
    <w:nsid w:val="08D418B8"/>
    <w:multiLevelType w:val="singleLevel"/>
    <w:tmpl w:val="08D418B8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6">
    <w:nsid w:val="0AD958F0"/>
    <w:multiLevelType w:val="multilevel"/>
    <w:tmpl w:val="0AD958F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0BBA5CDE"/>
    <w:multiLevelType w:val="singleLevel"/>
    <w:tmpl w:val="0BBA5CDE"/>
    <w:lvl w:ilvl="0" w:tentative="0">
      <w:start w:val="1"/>
      <w:numFmt w:val="decimal"/>
      <w:suff w:val="nothing"/>
      <w:lvlText w:val="（%1）"/>
      <w:lvlJc w:val="left"/>
    </w:lvl>
  </w:abstractNum>
  <w:abstractNum w:abstractNumId="28">
    <w:nsid w:val="0F5B704A"/>
    <w:multiLevelType w:val="singleLevel"/>
    <w:tmpl w:val="0F5B704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9">
    <w:nsid w:val="15D9DDE8"/>
    <w:multiLevelType w:val="singleLevel"/>
    <w:tmpl w:val="15D9DD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0">
    <w:nsid w:val="1C86681A"/>
    <w:multiLevelType w:val="multilevel"/>
    <w:tmpl w:val="1C86681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2E9E0370"/>
    <w:multiLevelType w:val="singleLevel"/>
    <w:tmpl w:val="2E9E0370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32">
    <w:nsid w:val="45FDC0B3"/>
    <w:multiLevelType w:val="singleLevel"/>
    <w:tmpl w:val="45FDC0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3">
    <w:nsid w:val="52FD72B7"/>
    <w:multiLevelType w:val="multilevel"/>
    <w:tmpl w:val="52FD72B7"/>
    <w:lvl w:ilvl="0" w:tentative="0">
      <w:start w:val="2"/>
      <w:numFmt w:val="japaneseCounting"/>
      <w:lvlText w:val="%1、"/>
      <w:lvlJc w:val="left"/>
      <w:pPr>
        <w:ind w:left="480" w:hanging="480"/>
      </w:pPr>
      <w:rPr>
        <w:rFonts w:hint="default"/>
        <w:b w:val="0"/>
      </w:rPr>
    </w:lvl>
    <w:lvl w:ilvl="1" w:tentative="0">
      <w:start w:val="1"/>
      <w:numFmt w:val="decimal"/>
      <w:lvlText w:val="%2、"/>
      <w:lvlJc w:val="left"/>
      <w:pPr>
        <w:ind w:left="787" w:hanging="367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6F16BFB"/>
    <w:multiLevelType w:val="singleLevel"/>
    <w:tmpl w:val="56F16B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5">
    <w:nsid w:val="611AF22A"/>
    <w:multiLevelType w:val="singleLevel"/>
    <w:tmpl w:val="611AF22A"/>
    <w:lvl w:ilvl="0" w:tentative="0">
      <w:start w:val="1"/>
      <w:numFmt w:val="decimal"/>
      <w:suff w:val="nothing"/>
      <w:lvlText w:val="（%1）"/>
      <w:lvlJc w:val="left"/>
    </w:lvl>
  </w:abstractNum>
  <w:abstractNum w:abstractNumId="36">
    <w:nsid w:val="6622702F"/>
    <w:multiLevelType w:val="singleLevel"/>
    <w:tmpl w:val="6622702F"/>
    <w:lvl w:ilvl="0" w:tentative="0">
      <w:start w:val="1"/>
      <w:numFmt w:val="decimal"/>
      <w:suff w:val="nothing"/>
      <w:lvlText w:val="（%1）"/>
      <w:lvlJc w:val="left"/>
    </w:lvl>
  </w:abstractNum>
  <w:abstractNum w:abstractNumId="37">
    <w:nsid w:val="68847C43"/>
    <w:multiLevelType w:val="singleLevel"/>
    <w:tmpl w:val="68847C43"/>
    <w:lvl w:ilvl="0" w:tentative="0">
      <w:start w:val="1"/>
      <w:numFmt w:val="decimal"/>
      <w:suff w:val="nothing"/>
      <w:lvlText w:val="（%1）"/>
      <w:lvlJc w:val="left"/>
    </w:lvl>
  </w:abstractNum>
  <w:abstractNum w:abstractNumId="38">
    <w:nsid w:val="6C458822"/>
    <w:multiLevelType w:val="singleLevel"/>
    <w:tmpl w:val="6C45882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9">
    <w:nsid w:val="6E492353"/>
    <w:multiLevelType w:val="multilevel"/>
    <w:tmpl w:val="6E49235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eastAsiaTheme="minorEastAsia" w:cstheme="minorBidi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6FF4129F"/>
    <w:multiLevelType w:val="singleLevel"/>
    <w:tmpl w:val="6FF4129F"/>
    <w:lvl w:ilvl="0" w:tentative="0">
      <w:start w:val="1"/>
      <w:numFmt w:val="decimal"/>
      <w:suff w:val="nothing"/>
      <w:lvlText w:val="（%1）"/>
      <w:lvlJc w:val="left"/>
    </w:lvl>
  </w:abstractNum>
  <w:abstractNum w:abstractNumId="41">
    <w:nsid w:val="76004E5F"/>
    <w:multiLevelType w:val="singleLevel"/>
    <w:tmpl w:val="76004E5F"/>
    <w:lvl w:ilvl="0" w:tentative="0">
      <w:start w:val="1"/>
      <w:numFmt w:val="decimal"/>
      <w:suff w:val="nothing"/>
      <w:lvlText w:val="%1、"/>
      <w:lvlJc w:val="left"/>
    </w:lvl>
  </w:abstractNum>
  <w:abstractNum w:abstractNumId="42">
    <w:nsid w:val="78A22834"/>
    <w:multiLevelType w:val="multilevel"/>
    <w:tmpl w:val="78A2283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A46E9BC"/>
    <w:multiLevelType w:val="singleLevel"/>
    <w:tmpl w:val="7A46E9BC"/>
    <w:lvl w:ilvl="0" w:tentative="0">
      <w:start w:val="1"/>
      <w:numFmt w:val="decimal"/>
      <w:suff w:val="nothing"/>
      <w:lvlText w:val="（%1）"/>
      <w:lvlJc w:val="left"/>
    </w:lvl>
  </w:abstractNum>
  <w:abstractNum w:abstractNumId="44">
    <w:nsid w:val="7AB5064A"/>
    <w:multiLevelType w:val="singleLevel"/>
    <w:tmpl w:val="7AB5064A"/>
    <w:lvl w:ilvl="0" w:tentative="0">
      <w:start w:val="1"/>
      <w:numFmt w:val="decimal"/>
      <w:suff w:val="nothing"/>
      <w:lvlText w:val="（%1）"/>
      <w:lvlJc w:val="left"/>
    </w:lvl>
  </w:abstractNum>
  <w:abstractNum w:abstractNumId="45">
    <w:nsid w:val="7DE2419E"/>
    <w:multiLevelType w:val="singleLevel"/>
    <w:tmpl w:val="7DE2419E"/>
    <w:lvl w:ilvl="0" w:tentative="0">
      <w:start w:val="1"/>
      <w:numFmt w:val="decimal"/>
      <w:suff w:val="nothing"/>
      <w:lvlText w:val="（%1）"/>
      <w:lvlJc w:val="left"/>
    </w:lvl>
  </w:abstractNum>
  <w:abstractNum w:abstractNumId="46">
    <w:nsid w:val="7FA26BEE"/>
    <w:multiLevelType w:val="singleLevel"/>
    <w:tmpl w:val="7FA26BEE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abstractNum w:abstractNumId="47">
    <w:nsid w:val="7FBE0BF3"/>
    <w:multiLevelType w:val="singleLevel"/>
    <w:tmpl w:val="7FBE0BF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8"/>
  </w:num>
  <w:num w:numId="2">
    <w:abstractNumId w:val="31"/>
  </w:num>
  <w:num w:numId="3">
    <w:abstractNumId w:val="0"/>
  </w:num>
  <w:num w:numId="4">
    <w:abstractNumId w:val="41"/>
  </w:num>
  <w:num w:numId="5">
    <w:abstractNumId w:val="46"/>
  </w:num>
  <w:num w:numId="6">
    <w:abstractNumId w:val="18"/>
  </w:num>
  <w:num w:numId="7">
    <w:abstractNumId w:val="14"/>
  </w:num>
  <w:num w:numId="8">
    <w:abstractNumId w:val="42"/>
  </w:num>
  <w:num w:numId="9">
    <w:abstractNumId w:val="33"/>
  </w:num>
  <w:num w:numId="10">
    <w:abstractNumId w:val="26"/>
  </w:num>
  <w:num w:numId="11">
    <w:abstractNumId w:val="39"/>
  </w:num>
  <w:num w:numId="12">
    <w:abstractNumId w:val="30"/>
  </w:num>
  <w:num w:numId="13">
    <w:abstractNumId w:val="3"/>
  </w:num>
  <w:num w:numId="14">
    <w:abstractNumId w:val="9"/>
  </w:num>
  <w:num w:numId="15">
    <w:abstractNumId w:val="32"/>
  </w:num>
  <w:num w:numId="16">
    <w:abstractNumId w:val="29"/>
  </w:num>
  <w:num w:numId="17">
    <w:abstractNumId w:val="13"/>
  </w:num>
  <w:num w:numId="18">
    <w:abstractNumId w:val="23"/>
  </w:num>
  <w:num w:numId="19">
    <w:abstractNumId w:val="44"/>
  </w:num>
  <w:num w:numId="20">
    <w:abstractNumId w:val="37"/>
  </w:num>
  <w:num w:numId="21">
    <w:abstractNumId w:val="11"/>
  </w:num>
  <w:num w:numId="22">
    <w:abstractNumId w:val="8"/>
  </w:num>
  <w:num w:numId="23">
    <w:abstractNumId w:val="7"/>
  </w:num>
  <w:num w:numId="24">
    <w:abstractNumId w:val="15"/>
  </w:num>
  <w:num w:numId="25">
    <w:abstractNumId w:val="6"/>
  </w:num>
  <w:num w:numId="26">
    <w:abstractNumId w:val="43"/>
  </w:num>
  <w:num w:numId="27">
    <w:abstractNumId w:val="27"/>
  </w:num>
  <w:num w:numId="28">
    <w:abstractNumId w:val="40"/>
  </w:num>
  <w:num w:numId="29">
    <w:abstractNumId w:val="21"/>
  </w:num>
  <w:num w:numId="30">
    <w:abstractNumId w:val="16"/>
  </w:num>
  <w:num w:numId="31">
    <w:abstractNumId w:val="47"/>
  </w:num>
  <w:num w:numId="32">
    <w:abstractNumId w:val="19"/>
  </w:num>
  <w:num w:numId="33">
    <w:abstractNumId w:val="2"/>
  </w:num>
  <w:num w:numId="34">
    <w:abstractNumId w:val="24"/>
  </w:num>
  <w:num w:numId="35">
    <w:abstractNumId w:val="34"/>
  </w:num>
  <w:num w:numId="36">
    <w:abstractNumId w:val="10"/>
  </w:num>
  <w:num w:numId="37">
    <w:abstractNumId w:val="25"/>
  </w:num>
  <w:num w:numId="38">
    <w:abstractNumId w:val="5"/>
  </w:num>
  <w:num w:numId="39">
    <w:abstractNumId w:val="36"/>
  </w:num>
  <w:num w:numId="40">
    <w:abstractNumId w:val="4"/>
  </w:num>
  <w:num w:numId="41">
    <w:abstractNumId w:val="38"/>
  </w:num>
  <w:num w:numId="42">
    <w:abstractNumId w:val="1"/>
  </w:num>
  <w:num w:numId="43">
    <w:abstractNumId w:val="20"/>
  </w:num>
  <w:num w:numId="44">
    <w:abstractNumId w:val="12"/>
  </w:num>
  <w:num w:numId="45">
    <w:abstractNumId w:val="17"/>
  </w:num>
  <w:num w:numId="46">
    <w:abstractNumId w:val="22"/>
  </w:num>
  <w:num w:numId="47">
    <w:abstractNumId w:val="3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23C"/>
    <w:rsid w:val="00002AC7"/>
    <w:rsid w:val="000134D1"/>
    <w:rsid w:val="000174B4"/>
    <w:rsid w:val="00046AA3"/>
    <w:rsid w:val="00050898"/>
    <w:rsid w:val="00052C9C"/>
    <w:rsid w:val="00077BD3"/>
    <w:rsid w:val="00092FF0"/>
    <w:rsid w:val="000A180D"/>
    <w:rsid w:val="000A5567"/>
    <w:rsid w:val="000B029B"/>
    <w:rsid w:val="000D33D7"/>
    <w:rsid w:val="000D3EEB"/>
    <w:rsid w:val="000E2587"/>
    <w:rsid w:val="000F488F"/>
    <w:rsid w:val="000F5488"/>
    <w:rsid w:val="00102AB1"/>
    <w:rsid w:val="001054E9"/>
    <w:rsid w:val="0011036E"/>
    <w:rsid w:val="0011584C"/>
    <w:rsid w:val="00135D80"/>
    <w:rsid w:val="00143CB8"/>
    <w:rsid w:val="0016380A"/>
    <w:rsid w:val="00172A27"/>
    <w:rsid w:val="00177411"/>
    <w:rsid w:val="001803E3"/>
    <w:rsid w:val="001A328C"/>
    <w:rsid w:val="001B4EAB"/>
    <w:rsid w:val="001B4F5A"/>
    <w:rsid w:val="001F41B5"/>
    <w:rsid w:val="001F62DB"/>
    <w:rsid w:val="002046EE"/>
    <w:rsid w:val="002158E3"/>
    <w:rsid w:val="00232014"/>
    <w:rsid w:val="00232C02"/>
    <w:rsid w:val="0024301B"/>
    <w:rsid w:val="00246AF9"/>
    <w:rsid w:val="00251BD9"/>
    <w:rsid w:val="00275AF4"/>
    <w:rsid w:val="002932E0"/>
    <w:rsid w:val="002B326C"/>
    <w:rsid w:val="002C66D8"/>
    <w:rsid w:val="002C69DA"/>
    <w:rsid w:val="002D26DF"/>
    <w:rsid w:val="002E0714"/>
    <w:rsid w:val="002F5B05"/>
    <w:rsid w:val="00304353"/>
    <w:rsid w:val="00330A8C"/>
    <w:rsid w:val="00335984"/>
    <w:rsid w:val="00342D6B"/>
    <w:rsid w:val="003D2A0B"/>
    <w:rsid w:val="003E450F"/>
    <w:rsid w:val="004071EC"/>
    <w:rsid w:val="0044605F"/>
    <w:rsid w:val="00451CF1"/>
    <w:rsid w:val="004555BC"/>
    <w:rsid w:val="00462E0A"/>
    <w:rsid w:val="0046672D"/>
    <w:rsid w:val="00483EB0"/>
    <w:rsid w:val="00494596"/>
    <w:rsid w:val="004A560F"/>
    <w:rsid w:val="004B6D1A"/>
    <w:rsid w:val="004D6C4D"/>
    <w:rsid w:val="004E3677"/>
    <w:rsid w:val="005018A3"/>
    <w:rsid w:val="00501B48"/>
    <w:rsid w:val="00503E93"/>
    <w:rsid w:val="00510ED0"/>
    <w:rsid w:val="00524277"/>
    <w:rsid w:val="0053481F"/>
    <w:rsid w:val="005674B9"/>
    <w:rsid w:val="005758EC"/>
    <w:rsid w:val="00576BED"/>
    <w:rsid w:val="00592497"/>
    <w:rsid w:val="00593B50"/>
    <w:rsid w:val="005A095D"/>
    <w:rsid w:val="005A4A17"/>
    <w:rsid w:val="005B4D32"/>
    <w:rsid w:val="005B52F3"/>
    <w:rsid w:val="005B5696"/>
    <w:rsid w:val="005E080C"/>
    <w:rsid w:val="005E4435"/>
    <w:rsid w:val="005F01DE"/>
    <w:rsid w:val="00651E9D"/>
    <w:rsid w:val="0067758B"/>
    <w:rsid w:val="00695A3C"/>
    <w:rsid w:val="006B1639"/>
    <w:rsid w:val="006C1AA5"/>
    <w:rsid w:val="006D049C"/>
    <w:rsid w:val="0072428C"/>
    <w:rsid w:val="0076078F"/>
    <w:rsid w:val="0076512D"/>
    <w:rsid w:val="0077028F"/>
    <w:rsid w:val="0077212F"/>
    <w:rsid w:val="0077228D"/>
    <w:rsid w:val="00772636"/>
    <w:rsid w:val="00781894"/>
    <w:rsid w:val="007833A4"/>
    <w:rsid w:val="007A3040"/>
    <w:rsid w:val="007A67D6"/>
    <w:rsid w:val="007A69A3"/>
    <w:rsid w:val="007B0BEA"/>
    <w:rsid w:val="007B1746"/>
    <w:rsid w:val="007E6585"/>
    <w:rsid w:val="007E6B1B"/>
    <w:rsid w:val="007F3187"/>
    <w:rsid w:val="007F637F"/>
    <w:rsid w:val="0080262A"/>
    <w:rsid w:val="00812F55"/>
    <w:rsid w:val="008547EF"/>
    <w:rsid w:val="0086274D"/>
    <w:rsid w:val="0087526C"/>
    <w:rsid w:val="00880389"/>
    <w:rsid w:val="00881B89"/>
    <w:rsid w:val="008835FA"/>
    <w:rsid w:val="00897E8C"/>
    <w:rsid w:val="008B31D3"/>
    <w:rsid w:val="008B6737"/>
    <w:rsid w:val="008C7B63"/>
    <w:rsid w:val="008D19C8"/>
    <w:rsid w:val="008D30BD"/>
    <w:rsid w:val="008D7FD2"/>
    <w:rsid w:val="00907CED"/>
    <w:rsid w:val="00907E13"/>
    <w:rsid w:val="00935AB4"/>
    <w:rsid w:val="00937A10"/>
    <w:rsid w:val="00941398"/>
    <w:rsid w:val="009A180F"/>
    <w:rsid w:val="009A6FC9"/>
    <w:rsid w:val="009A770F"/>
    <w:rsid w:val="009D49E0"/>
    <w:rsid w:val="009E18D5"/>
    <w:rsid w:val="009E4038"/>
    <w:rsid w:val="009E419A"/>
    <w:rsid w:val="009F1072"/>
    <w:rsid w:val="009F6AC3"/>
    <w:rsid w:val="00A035B6"/>
    <w:rsid w:val="00A13DE1"/>
    <w:rsid w:val="00A20E1F"/>
    <w:rsid w:val="00A23278"/>
    <w:rsid w:val="00A7722E"/>
    <w:rsid w:val="00A82F87"/>
    <w:rsid w:val="00A849D8"/>
    <w:rsid w:val="00A96D0C"/>
    <w:rsid w:val="00AA1CC5"/>
    <w:rsid w:val="00AA55B9"/>
    <w:rsid w:val="00AC3933"/>
    <w:rsid w:val="00AC3C22"/>
    <w:rsid w:val="00AD43D4"/>
    <w:rsid w:val="00AD62AC"/>
    <w:rsid w:val="00AE32A9"/>
    <w:rsid w:val="00AF5B97"/>
    <w:rsid w:val="00B168DB"/>
    <w:rsid w:val="00B549A7"/>
    <w:rsid w:val="00B85F62"/>
    <w:rsid w:val="00BA1264"/>
    <w:rsid w:val="00BB1713"/>
    <w:rsid w:val="00BC1888"/>
    <w:rsid w:val="00BC5081"/>
    <w:rsid w:val="00BE1F29"/>
    <w:rsid w:val="00C16E0F"/>
    <w:rsid w:val="00C31FEC"/>
    <w:rsid w:val="00C335BD"/>
    <w:rsid w:val="00C40538"/>
    <w:rsid w:val="00C502C9"/>
    <w:rsid w:val="00C54B68"/>
    <w:rsid w:val="00C55A30"/>
    <w:rsid w:val="00C60F12"/>
    <w:rsid w:val="00C7449A"/>
    <w:rsid w:val="00C8594F"/>
    <w:rsid w:val="00CA079C"/>
    <w:rsid w:val="00CA08F4"/>
    <w:rsid w:val="00CA1A8D"/>
    <w:rsid w:val="00CA1E76"/>
    <w:rsid w:val="00CA5359"/>
    <w:rsid w:val="00CB3A63"/>
    <w:rsid w:val="00CB59B6"/>
    <w:rsid w:val="00CD529D"/>
    <w:rsid w:val="00CE2C32"/>
    <w:rsid w:val="00CF0C66"/>
    <w:rsid w:val="00D02421"/>
    <w:rsid w:val="00D26747"/>
    <w:rsid w:val="00D3357E"/>
    <w:rsid w:val="00D4581A"/>
    <w:rsid w:val="00D66CCA"/>
    <w:rsid w:val="00D67102"/>
    <w:rsid w:val="00D96BF4"/>
    <w:rsid w:val="00DB0ED9"/>
    <w:rsid w:val="00DB1BDA"/>
    <w:rsid w:val="00DD40A2"/>
    <w:rsid w:val="00DD6674"/>
    <w:rsid w:val="00DF2C94"/>
    <w:rsid w:val="00E16642"/>
    <w:rsid w:val="00E17937"/>
    <w:rsid w:val="00E179F3"/>
    <w:rsid w:val="00E2127C"/>
    <w:rsid w:val="00E218D2"/>
    <w:rsid w:val="00E6067E"/>
    <w:rsid w:val="00E62FB6"/>
    <w:rsid w:val="00E65789"/>
    <w:rsid w:val="00E8789A"/>
    <w:rsid w:val="00EA4051"/>
    <w:rsid w:val="00EB0AA4"/>
    <w:rsid w:val="00ED0C81"/>
    <w:rsid w:val="00ED2690"/>
    <w:rsid w:val="00F02C56"/>
    <w:rsid w:val="00F04F7D"/>
    <w:rsid w:val="00F23376"/>
    <w:rsid w:val="00F26C14"/>
    <w:rsid w:val="00F322E7"/>
    <w:rsid w:val="00F42D51"/>
    <w:rsid w:val="00F44DDA"/>
    <w:rsid w:val="00F46481"/>
    <w:rsid w:val="00F54D51"/>
    <w:rsid w:val="00F62B48"/>
    <w:rsid w:val="00F86096"/>
    <w:rsid w:val="00FA4F1B"/>
    <w:rsid w:val="00FB2FA4"/>
    <w:rsid w:val="00FB35AC"/>
    <w:rsid w:val="00FD730B"/>
    <w:rsid w:val="00FE50FD"/>
    <w:rsid w:val="00FF5F5F"/>
    <w:rsid w:val="01122886"/>
    <w:rsid w:val="016F71E0"/>
    <w:rsid w:val="01E84DE8"/>
    <w:rsid w:val="02285258"/>
    <w:rsid w:val="026B5DED"/>
    <w:rsid w:val="02C9294F"/>
    <w:rsid w:val="0318529A"/>
    <w:rsid w:val="043450AC"/>
    <w:rsid w:val="043F0F84"/>
    <w:rsid w:val="043F4832"/>
    <w:rsid w:val="04783EFE"/>
    <w:rsid w:val="04A4501A"/>
    <w:rsid w:val="04DA09AE"/>
    <w:rsid w:val="04EB3484"/>
    <w:rsid w:val="05142F83"/>
    <w:rsid w:val="05387267"/>
    <w:rsid w:val="05FE2F11"/>
    <w:rsid w:val="06073E8C"/>
    <w:rsid w:val="061F0E7A"/>
    <w:rsid w:val="068E21AD"/>
    <w:rsid w:val="070212C9"/>
    <w:rsid w:val="07CD22B7"/>
    <w:rsid w:val="08C31977"/>
    <w:rsid w:val="092A2664"/>
    <w:rsid w:val="09545496"/>
    <w:rsid w:val="0AD8415A"/>
    <w:rsid w:val="0B367669"/>
    <w:rsid w:val="0B74705E"/>
    <w:rsid w:val="0C0C02B0"/>
    <w:rsid w:val="0C28517B"/>
    <w:rsid w:val="0C392FB0"/>
    <w:rsid w:val="0C3D6B3B"/>
    <w:rsid w:val="0DB713C8"/>
    <w:rsid w:val="0EA029AE"/>
    <w:rsid w:val="0EE26272"/>
    <w:rsid w:val="0F3B2EB6"/>
    <w:rsid w:val="0F59559A"/>
    <w:rsid w:val="0F8004EC"/>
    <w:rsid w:val="0FA02D8B"/>
    <w:rsid w:val="0FED5D17"/>
    <w:rsid w:val="106E7666"/>
    <w:rsid w:val="10A1497C"/>
    <w:rsid w:val="10D20BB3"/>
    <w:rsid w:val="113C1FD8"/>
    <w:rsid w:val="11FC39A0"/>
    <w:rsid w:val="120F3FB9"/>
    <w:rsid w:val="122120AB"/>
    <w:rsid w:val="124135B2"/>
    <w:rsid w:val="124426D6"/>
    <w:rsid w:val="124A3D05"/>
    <w:rsid w:val="12C87ECE"/>
    <w:rsid w:val="131763FD"/>
    <w:rsid w:val="134E0B6F"/>
    <w:rsid w:val="13603BE4"/>
    <w:rsid w:val="139C372F"/>
    <w:rsid w:val="13D30CDD"/>
    <w:rsid w:val="158130C5"/>
    <w:rsid w:val="15915B09"/>
    <w:rsid w:val="167C0158"/>
    <w:rsid w:val="167D2FC9"/>
    <w:rsid w:val="16B00E20"/>
    <w:rsid w:val="174A28AE"/>
    <w:rsid w:val="176B54E5"/>
    <w:rsid w:val="181C3177"/>
    <w:rsid w:val="188E7494"/>
    <w:rsid w:val="18D33BD9"/>
    <w:rsid w:val="193A7688"/>
    <w:rsid w:val="195239F0"/>
    <w:rsid w:val="199A0CEA"/>
    <w:rsid w:val="1A036002"/>
    <w:rsid w:val="1A135113"/>
    <w:rsid w:val="1A1B1784"/>
    <w:rsid w:val="1A1F0A2A"/>
    <w:rsid w:val="1AE35F85"/>
    <w:rsid w:val="1AF830F1"/>
    <w:rsid w:val="1B2B46D8"/>
    <w:rsid w:val="1B5F0A13"/>
    <w:rsid w:val="1B8620F3"/>
    <w:rsid w:val="1BC7037A"/>
    <w:rsid w:val="1BE74561"/>
    <w:rsid w:val="1BEE0FF9"/>
    <w:rsid w:val="1CD73ECE"/>
    <w:rsid w:val="1D867A3A"/>
    <w:rsid w:val="1DF67529"/>
    <w:rsid w:val="1F596B37"/>
    <w:rsid w:val="1F633C9D"/>
    <w:rsid w:val="1F7B2682"/>
    <w:rsid w:val="1FC8096E"/>
    <w:rsid w:val="20AA5EF8"/>
    <w:rsid w:val="20B610EF"/>
    <w:rsid w:val="20F021C0"/>
    <w:rsid w:val="210B4509"/>
    <w:rsid w:val="211429CC"/>
    <w:rsid w:val="21BD068F"/>
    <w:rsid w:val="22426D0D"/>
    <w:rsid w:val="2278033F"/>
    <w:rsid w:val="22A90FB5"/>
    <w:rsid w:val="22B3751A"/>
    <w:rsid w:val="231768E0"/>
    <w:rsid w:val="23284865"/>
    <w:rsid w:val="23924F38"/>
    <w:rsid w:val="23BF530E"/>
    <w:rsid w:val="24272669"/>
    <w:rsid w:val="249D7204"/>
    <w:rsid w:val="24F32B11"/>
    <w:rsid w:val="2504051B"/>
    <w:rsid w:val="254A02C9"/>
    <w:rsid w:val="258A7BC6"/>
    <w:rsid w:val="2590232B"/>
    <w:rsid w:val="25AD3367"/>
    <w:rsid w:val="25C95191"/>
    <w:rsid w:val="25F235FC"/>
    <w:rsid w:val="26370680"/>
    <w:rsid w:val="26504A52"/>
    <w:rsid w:val="268E1ABE"/>
    <w:rsid w:val="269747AF"/>
    <w:rsid w:val="26AE7AC6"/>
    <w:rsid w:val="2738379E"/>
    <w:rsid w:val="284A3115"/>
    <w:rsid w:val="28754E31"/>
    <w:rsid w:val="28AA5253"/>
    <w:rsid w:val="292B4D77"/>
    <w:rsid w:val="29803A83"/>
    <w:rsid w:val="29F40337"/>
    <w:rsid w:val="2A6121BC"/>
    <w:rsid w:val="2AA8672D"/>
    <w:rsid w:val="2B1C4FEE"/>
    <w:rsid w:val="2B7C3390"/>
    <w:rsid w:val="2B7E0EAB"/>
    <w:rsid w:val="2B9352CB"/>
    <w:rsid w:val="2BDA3C58"/>
    <w:rsid w:val="2C826D36"/>
    <w:rsid w:val="2C9D23BC"/>
    <w:rsid w:val="2CA0150E"/>
    <w:rsid w:val="2CA1601F"/>
    <w:rsid w:val="2CE326EE"/>
    <w:rsid w:val="2E2172E0"/>
    <w:rsid w:val="2E924AE6"/>
    <w:rsid w:val="2EEE6D4B"/>
    <w:rsid w:val="2F1F163D"/>
    <w:rsid w:val="2FB418B1"/>
    <w:rsid w:val="2FD90D3C"/>
    <w:rsid w:val="301741CC"/>
    <w:rsid w:val="30F5530E"/>
    <w:rsid w:val="31222EDD"/>
    <w:rsid w:val="31521123"/>
    <w:rsid w:val="31CD4465"/>
    <w:rsid w:val="31D1098E"/>
    <w:rsid w:val="32541A62"/>
    <w:rsid w:val="325A56EE"/>
    <w:rsid w:val="33237626"/>
    <w:rsid w:val="33B36C5F"/>
    <w:rsid w:val="34A27F19"/>
    <w:rsid w:val="34FB20E6"/>
    <w:rsid w:val="35882716"/>
    <w:rsid w:val="360B36E2"/>
    <w:rsid w:val="36293481"/>
    <w:rsid w:val="366339F2"/>
    <w:rsid w:val="36907E91"/>
    <w:rsid w:val="36915633"/>
    <w:rsid w:val="36DB5651"/>
    <w:rsid w:val="37757219"/>
    <w:rsid w:val="378C000F"/>
    <w:rsid w:val="37CB0B0E"/>
    <w:rsid w:val="37E10BFB"/>
    <w:rsid w:val="37E41AA8"/>
    <w:rsid w:val="38436405"/>
    <w:rsid w:val="386A340A"/>
    <w:rsid w:val="38AB292A"/>
    <w:rsid w:val="392A079E"/>
    <w:rsid w:val="396E4360"/>
    <w:rsid w:val="39A47373"/>
    <w:rsid w:val="3A2A3988"/>
    <w:rsid w:val="3A957845"/>
    <w:rsid w:val="3A993282"/>
    <w:rsid w:val="3AAD22BF"/>
    <w:rsid w:val="3AB6000F"/>
    <w:rsid w:val="3B4A7398"/>
    <w:rsid w:val="3BB560D4"/>
    <w:rsid w:val="3C0B423E"/>
    <w:rsid w:val="3C321940"/>
    <w:rsid w:val="3CC02460"/>
    <w:rsid w:val="3DF579CA"/>
    <w:rsid w:val="3DFD69EC"/>
    <w:rsid w:val="3E394D91"/>
    <w:rsid w:val="3ED233C2"/>
    <w:rsid w:val="3F2F4647"/>
    <w:rsid w:val="3F3B652C"/>
    <w:rsid w:val="3F6722AF"/>
    <w:rsid w:val="3FA75485"/>
    <w:rsid w:val="3FEF42C9"/>
    <w:rsid w:val="4111339F"/>
    <w:rsid w:val="41555912"/>
    <w:rsid w:val="41CF170B"/>
    <w:rsid w:val="42065C84"/>
    <w:rsid w:val="42413474"/>
    <w:rsid w:val="424F735B"/>
    <w:rsid w:val="4269579F"/>
    <w:rsid w:val="438A429A"/>
    <w:rsid w:val="43AA3942"/>
    <w:rsid w:val="43C52877"/>
    <w:rsid w:val="43F87E5D"/>
    <w:rsid w:val="44A54C1D"/>
    <w:rsid w:val="45054BFC"/>
    <w:rsid w:val="455D7676"/>
    <w:rsid w:val="468C0D6B"/>
    <w:rsid w:val="469300FF"/>
    <w:rsid w:val="46C8606F"/>
    <w:rsid w:val="475C06A8"/>
    <w:rsid w:val="478236ED"/>
    <w:rsid w:val="484D2D7D"/>
    <w:rsid w:val="49333CC5"/>
    <w:rsid w:val="494128DE"/>
    <w:rsid w:val="494F771B"/>
    <w:rsid w:val="49DA611B"/>
    <w:rsid w:val="4A552B50"/>
    <w:rsid w:val="4A9E31B3"/>
    <w:rsid w:val="4AA3148F"/>
    <w:rsid w:val="4AE13C38"/>
    <w:rsid w:val="4B793C0D"/>
    <w:rsid w:val="4C464442"/>
    <w:rsid w:val="4CBC00B5"/>
    <w:rsid w:val="4E211332"/>
    <w:rsid w:val="4E563058"/>
    <w:rsid w:val="4EEC4631"/>
    <w:rsid w:val="4FC86818"/>
    <w:rsid w:val="50A40C50"/>
    <w:rsid w:val="50C9066F"/>
    <w:rsid w:val="50E22DAE"/>
    <w:rsid w:val="5108549C"/>
    <w:rsid w:val="510B13CC"/>
    <w:rsid w:val="5171191A"/>
    <w:rsid w:val="518D0654"/>
    <w:rsid w:val="519D7CFF"/>
    <w:rsid w:val="51B14A31"/>
    <w:rsid w:val="51CD3F48"/>
    <w:rsid w:val="51E14DFB"/>
    <w:rsid w:val="52BD5ADF"/>
    <w:rsid w:val="52D77D22"/>
    <w:rsid w:val="53210238"/>
    <w:rsid w:val="537B7B8F"/>
    <w:rsid w:val="5389560C"/>
    <w:rsid w:val="54162B8E"/>
    <w:rsid w:val="54893D16"/>
    <w:rsid w:val="548D771C"/>
    <w:rsid w:val="54A31294"/>
    <w:rsid w:val="55900FB7"/>
    <w:rsid w:val="55ED6565"/>
    <w:rsid w:val="56194A0E"/>
    <w:rsid w:val="56211534"/>
    <w:rsid w:val="563F43E4"/>
    <w:rsid w:val="56492824"/>
    <w:rsid w:val="56E30E1E"/>
    <w:rsid w:val="57FC7B26"/>
    <w:rsid w:val="58617F6F"/>
    <w:rsid w:val="586D4176"/>
    <w:rsid w:val="587F0DD8"/>
    <w:rsid w:val="590663BE"/>
    <w:rsid w:val="59244320"/>
    <w:rsid w:val="59597281"/>
    <w:rsid w:val="598A52A3"/>
    <w:rsid w:val="5997018F"/>
    <w:rsid w:val="59D521E7"/>
    <w:rsid w:val="59E072DA"/>
    <w:rsid w:val="5A267A54"/>
    <w:rsid w:val="5AFB5879"/>
    <w:rsid w:val="5B0C402A"/>
    <w:rsid w:val="5B4E1ECB"/>
    <w:rsid w:val="5BDF51D5"/>
    <w:rsid w:val="5C4435A7"/>
    <w:rsid w:val="5CE17ED5"/>
    <w:rsid w:val="5DE8426D"/>
    <w:rsid w:val="5ED20B99"/>
    <w:rsid w:val="5ED340C5"/>
    <w:rsid w:val="5F0B7265"/>
    <w:rsid w:val="5F183A45"/>
    <w:rsid w:val="5F7E11F2"/>
    <w:rsid w:val="606D0CF7"/>
    <w:rsid w:val="61077C3D"/>
    <w:rsid w:val="6169608F"/>
    <w:rsid w:val="61715605"/>
    <w:rsid w:val="61820658"/>
    <w:rsid w:val="61C34034"/>
    <w:rsid w:val="61EF5639"/>
    <w:rsid w:val="62102968"/>
    <w:rsid w:val="62633261"/>
    <w:rsid w:val="62C47E1F"/>
    <w:rsid w:val="63023425"/>
    <w:rsid w:val="636027BE"/>
    <w:rsid w:val="63C44797"/>
    <w:rsid w:val="640148F6"/>
    <w:rsid w:val="64286618"/>
    <w:rsid w:val="64657C03"/>
    <w:rsid w:val="648F7AA5"/>
    <w:rsid w:val="64DE3331"/>
    <w:rsid w:val="650824E2"/>
    <w:rsid w:val="654A4737"/>
    <w:rsid w:val="65972822"/>
    <w:rsid w:val="65C46790"/>
    <w:rsid w:val="65C50B09"/>
    <w:rsid w:val="65DB34B0"/>
    <w:rsid w:val="661D410A"/>
    <w:rsid w:val="66241EF8"/>
    <w:rsid w:val="67C827A8"/>
    <w:rsid w:val="682D1ED9"/>
    <w:rsid w:val="684D5A98"/>
    <w:rsid w:val="6957518E"/>
    <w:rsid w:val="69BE2D36"/>
    <w:rsid w:val="69C53C1A"/>
    <w:rsid w:val="69FB3319"/>
    <w:rsid w:val="6A0F6C37"/>
    <w:rsid w:val="6A3F69D8"/>
    <w:rsid w:val="6B0F3FA8"/>
    <w:rsid w:val="6B466292"/>
    <w:rsid w:val="6B9F0D57"/>
    <w:rsid w:val="6BA66ACF"/>
    <w:rsid w:val="6C0A6D37"/>
    <w:rsid w:val="6CAE3E12"/>
    <w:rsid w:val="6CD10C28"/>
    <w:rsid w:val="6CEA7814"/>
    <w:rsid w:val="6E072801"/>
    <w:rsid w:val="6F760A2B"/>
    <w:rsid w:val="70AF3758"/>
    <w:rsid w:val="70D00C11"/>
    <w:rsid w:val="70E5377C"/>
    <w:rsid w:val="7103179C"/>
    <w:rsid w:val="7199145F"/>
    <w:rsid w:val="71A90B32"/>
    <w:rsid w:val="71D86B61"/>
    <w:rsid w:val="72A22F24"/>
    <w:rsid w:val="72C3124C"/>
    <w:rsid w:val="73243ABD"/>
    <w:rsid w:val="733163DA"/>
    <w:rsid w:val="736534E0"/>
    <w:rsid w:val="73BE5BDC"/>
    <w:rsid w:val="74780DB1"/>
    <w:rsid w:val="74CE5F9C"/>
    <w:rsid w:val="74D62C1E"/>
    <w:rsid w:val="74ED5E8D"/>
    <w:rsid w:val="750E18E2"/>
    <w:rsid w:val="758104C2"/>
    <w:rsid w:val="75DE3E53"/>
    <w:rsid w:val="76A56449"/>
    <w:rsid w:val="76F14672"/>
    <w:rsid w:val="77564CAD"/>
    <w:rsid w:val="77700BB7"/>
    <w:rsid w:val="77C748E6"/>
    <w:rsid w:val="77D021DF"/>
    <w:rsid w:val="77DD04AC"/>
    <w:rsid w:val="77DF02C4"/>
    <w:rsid w:val="784F2B82"/>
    <w:rsid w:val="785D266A"/>
    <w:rsid w:val="78742B64"/>
    <w:rsid w:val="78F61295"/>
    <w:rsid w:val="7B064F78"/>
    <w:rsid w:val="7B405518"/>
    <w:rsid w:val="7BCC2EC7"/>
    <w:rsid w:val="7C247F0D"/>
    <w:rsid w:val="7C8D75C9"/>
    <w:rsid w:val="7CEE17BC"/>
    <w:rsid w:val="7DA563D9"/>
    <w:rsid w:val="7DC45710"/>
    <w:rsid w:val="7E1E27EB"/>
    <w:rsid w:val="7E7F24B9"/>
    <w:rsid w:val="7ED656CF"/>
    <w:rsid w:val="7EE35179"/>
    <w:rsid w:val="7F2C02B6"/>
    <w:rsid w:val="7FD5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qFormat/>
    <w:uiPriority w:val="0"/>
    <w:pPr>
      <w:jc w:val="left"/>
    </w:p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styleId="7">
    <w:name w:val="annotation subject"/>
    <w:basedOn w:val="2"/>
    <w:next w:val="2"/>
    <w:link w:val="15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批注文字 字符"/>
    <w:basedOn w:val="10"/>
    <w:link w:val="2"/>
    <w:qFormat/>
    <w:uiPriority w:val="0"/>
    <w:rPr>
      <w:rFonts w:eastAsiaTheme="minorEastAsia" w:cstheme="minorBidi"/>
      <w:kern w:val="2"/>
      <w:sz w:val="21"/>
      <w:szCs w:val="24"/>
    </w:rPr>
  </w:style>
  <w:style w:type="character" w:customStyle="1" w:styleId="15">
    <w:name w:val="批注主题 字符"/>
    <w:basedOn w:val="14"/>
    <w:link w:val="7"/>
    <w:qFormat/>
    <w:uiPriority w:val="0"/>
    <w:rPr>
      <w:rFonts w:eastAsiaTheme="minorEastAsia" w:cstheme="minorBidi"/>
      <w:b/>
      <w:bCs/>
      <w:kern w:val="2"/>
      <w:sz w:val="21"/>
      <w:szCs w:val="24"/>
    </w:rPr>
  </w:style>
  <w:style w:type="character" w:customStyle="1" w:styleId="16">
    <w:name w:val="批注框文本 字符"/>
    <w:basedOn w:val="10"/>
    <w:link w:val="3"/>
    <w:qFormat/>
    <w:uiPriority w:val="0"/>
    <w:rPr>
      <w:rFonts w:eastAsiaTheme="minorEastAsia" w:cstheme="minorBidi"/>
      <w:kern w:val="2"/>
      <w:sz w:val="18"/>
      <w:szCs w:val="18"/>
    </w:rPr>
  </w:style>
  <w:style w:type="character" w:styleId="17">
    <w:name w:val="Placeholder Text"/>
    <w:basedOn w:val="10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6.emf"/><Relationship Id="rId98" Type="http://schemas.openxmlformats.org/officeDocument/2006/relationships/image" Target="media/image45.emf"/><Relationship Id="rId97" Type="http://schemas.openxmlformats.org/officeDocument/2006/relationships/image" Target="media/image44.emf"/><Relationship Id="rId96" Type="http://schemas.openxmlformats.org/officeDocument/2006/relationships/image" Target="media/image43.emf"/><Relationship Id="rId95" Type="http://schemas.openxmlformats.org/officeDocument/2006/relationships/image" Target="media/image42.emf"/><Relationship Id="rId94" Type="http://schemas.openxmlformats.org/officeDocument/2006/relationships/image" Target="media/image41.emf"/><Relationship Id="rId93" Type="http://schemas.openxmlformats.org/officeDocument/2006/relationships/image" Target="media/image40.png"/><Relationship Id="rId92" Type="http://schemas.openxmlformats.org/officeDocument/2006/relationships/image" Target="media/image39.png"/><Relationship Id="rId91" Type="http://schemas.openxmlformats.org/officeDocument/2006/relationships/image" Target="media/image38.wmf"/><Relationship Id="rId90" Type="http://schemas.openxmlformats.org/officeDocument/2006/relationships/oleObject" Target="embeddings/oleObject15.bin"/><Relationship Id="rId9" Type="http://schemas.openxmlformats.org/officeDocument/2006/relationships/header" Target="header6.xml"/><Relationship Id="rId89" Type="http://schemas.openxmlformats.org/officeDocument/2006/relationships/image" Target="media/image37.wmf"/><Relationship Id="rId88" Type="http://schemas.openxmlformats.org/officeDocument/2006/relationships/oleObject" Target="embeddings/oleObject14.bin"/><Relationship Id="rId87" Type="http://schemas.openxmlformats.org/officeDocument/2006/relationships/image" Target="media/image36.wmf"/><Relationship Id="rId86" Type="http://schemas.openxmlformats.org/officeDocument/2006/relationships/oleObject" Target="embeddings/oleObject13.bin"/><Relationship Id="rId85" Type="http://schemas.openxmlformats.org/officeDocument/2006/relationships/image" Target="media/image35.wmf"/><Relationship Id="rId84" Type="http://schemas.openxmlformats.org/officeDocument/2006/relationships/oleObject" Target="embeddings/oleObject12.bin"/><Relationship Id="rId83" Type="http://schemas.openxmlformats.org/officeDocument/2006/relationships/image" Target="media/image34.wmf"/><Relationship Id="rId82" Type="http://schemas.openxmlformats.org/officeDocument/2006/relationships/oleObject" Target="embeddings/oleObject11.bin"/><Relationship Id="rId81" Type="http://schemas.openxmlformats.org/officeDocument/2006/relationships/image" Target="media/image33.png"/><Relationship Id="rId80" Type="http://schemas.openxmlformats.org/officeDocument/2006/relationships/image" Target="media/image32.wmf"/><Relationship Id="rId8" Type="http://schemas.openxmlformats.org/officeDocument/2006/relationships/header" Target="header5.xml"/><Relationship Id="rId79" Type="http://schemas.openxmlformats.org/officeDocument/2006/relationships/oleObject" Target="embeddings/oleObject10.bin"/><Relationship Id="rId78" Type="http://schemas.openxmlformats.org/officeDocument/2006/relationships/image" Target="media/image31.emf"/><Relationship Id="rId77" Type="http://schemas.openxmlformats.org/officeDocument/2006/relationships/oleObject" Target="embeddings/oleObject9.bin"/><Relationship Id="rId76" Type="http://schemas.openxmlformats.org/officeDocument/2006/relationships/image" Target="media/image30.emf"/><Relationship Id="rId75" Type="http://schemas.openxmlformats.org/officeDocument/2006/relationships/oleObject" Target="embeddings/oleObject8.bin"/><Relationship Id="rId74" Type="http://schemas.openxmlformats.org/officeDocument/2006/relationships/image" Target="media/image29.emf"/><Relationship Id="rId73" Type="http://schemas.openxmlformats.org/officeDocument/2006/relationships/oleObject" Target="embeddings/oleObject7.bin"/><Relationship Id="rId72" Type="http://schemas.openxmlformats.org/officeDocument/2006/relationships/image" Target="media/image28.emf"/><Relationship Id="rId71" Type="http://schemas.openxmlformats.org/officeDocument/2006/relationships/oleObject" Target="embeddings/oleObject6.bin"/><Relationship Id="rId70" Type="http://schemas.openxmlformats.org/officeDocument/2006/relationships/image" Target="media/image27.emf"/><Relationship Id="rId7" Type="http://schemas.openxmlformats.org/officeDocument/2006/relationships/header" Target="header4.xml"/><Relationship Id="rId69" Type="http://schemas.openxmlformats.org/officeDocument/2006/relationships/oleObject" Target="embeddings/oleObject5.bin"/><Relationship Id="rId68" Type="http://schemas.openxmlformats.org/officeDocument/2006/relationships/image" Target="media/image26.emf"/><Relationship Id="rId67" Type="http://schemas.openxmlformats.org/officeDocument/2006/relationships/image" Target="media/image25.wmf"/><Relationship Id="rId66" Type="http://schemas.openxmlformats.org/officeDocument/2006/relationships/oleObject" Target="embeddings/oleObject4.bin"/><Relationship Id="rId65" Type="http://schemas.openxmlformats.org/officeDocument/2006/relationships/image" Target="media/image24.emf"/><Relationship Id="rId64" Type="http://schemas.openxmlformats.org/officeDocument/2006/relationships/image" Target="media/image23.wmf"/><Relationship Id="rId63" Type="http://schemas.openxmlformats.org/officeDocument/2006/relationships/oleObject" Target="embeddings/oleObject3.bin"/><Relationship Id="rId62" Type="http://schemas.openxmlformats.org/officeDocument/2006/relationships/image" Target="media/image22.emf"/><Relationship Id="rId61" Type="http://schemas.openxmlformats.org/officeDocument/2006/relationships/image" Target="media/image21.emf"/><Relationship Id="rId60" Type="http://schemas.openxmlformats.org/officeDocument/2006/relationships/image" Target="media/image20.png"/><Relationship Id="rId6" Type="http://schemas.openxmlformats.org/officeDocument/2006/relationships/header" Target="header3.xml"/><Relationship Id="rId59" Type="http://schemas.openxmlformats.org/officeDocument/2006/relationships/image" Target="media/image19.png"/><Relationship Id="rId58" Type="http://schemas.openxmlformats.org/officeDocument/2006/relationships/image" Target="media/image18.png"/><Relationship Id="rId57" Type="http://schemas.openxmlformats.org/officeDocument/2006/relationships/image" Target="media/image17.png"/><Relationship Id="rId56" Type="http://schemas.openxmlformats.org/officeDocument/2006/relationships/image" Target="media/image16.png"/><Relationship Id="rId55" Type="http://schemas.openxmlformats.org/officeDocument/2006/relationships/image" Target="media/image15.png"/><Relationship Id="rId54" Type="http://schemas.openxmlformats.org/officeDocument/2006/relationships/image" Target="media/image14.png"/><Relationship Id="rId53" Type="http://schemas.openxmlformats.org/officeDocument/2006/relationships/image" Target="media/image13.png"/><Relationship Id="rId52" Type="http://schemas.openxmlformats.org/officeDocument/2006/relationships/image" Target="media/image12.png"/><Relationship Id="rId51" Type="http://schemas.openxmlformats.org/officeDocument/2006/relationships/image" Target="media/image11.png"/><Relationship Id="rId50" Type="http://schemas.openxmlformats.org/officeDocument/2006/relationships/image" Target="media/image10.wmf"/><Relationship Id="rId5" Type="http://schemas.openxmlformats.org/officeDocument/2006/relationships/header" Target="header2.xml"/><Relationship Id="rId49" Type="http://schemas.openxmlformats.org/officeDocument/2006/relationships/oleObject" Target="embeddings/oleObject2.bin"/><Relationship Id="rId48" Type="http://schemas.openxmlformats.org/officeDocument/2006/relationships/image" Target="media/image9.wmf"/><Relationship Id="rId47" Type="http://schemas.openxmlformats.org/officeDocument/2006/relationships/oleObject" Target="embeddings/oleObject1.bin"/><Relationship Id="rId46" Type="http://schemas.openxmlformats.org/officeDocument/2006/relationships/image" Target="media/image8.wmf"/><Relationship Id="rId45" Type="http://schemas.openxmlformats.org/officeDocument/2006/relationships/image" Target="media/image7.png"/><Relationship Id="rId44" Type="http://schemas.openxmlformats.org/officeDocument/2006/relationships/image" Target="media/image6.png"/><Relationship Id="rId43" Type="http://schemas.openxmlformats.org/officeDocument/2006/relationships/image" Target="media/image5.emf"/><Relationship Id="rId42" Type="http://schemas.openxmlformats.org/officeDocument/2006/relationships/image" Target="media/image4.emf"/><Relationship Id="rId41" Type="http://schemas.openxmlformats.org/officeDocument/2006/relationships/image" Target="media/image3.emf"/><Relationship Id="rId40" Type="http://schemas.openxmlformats.org/officeDocument/2006/relationships/image" Target="media/image2.jpeg"/><Relationship Id="rId4" Type="http://schemas.openxmlformats.org/officeDocument/2006/relationships/footer" Target="footer1.xml"/><Relationship Id="rId39" Type="http://schemas.openxmlformats.org/officeDocument/2006/relationships/image" Target="media/image1.png"/><Relationship Id="rId38" Type="http://schemas.openxmlformats.org/officeDocument/2006/relationships/theme" Target="theme/theme1.xml"/><Relationship Id="rId37" Type="http://schemas.openxmlformats.org/officeDocument/2006/relationships/header" Target="header34.xml"/><Relationship Id="rId36" Type="http://schemas.openxmlformats.org/officeDocument/2006/relationships/header" Target="header33.xml"/><Relationship Id="rId35" Type="http://schemas.openxmlformats.org/officeDocument/2006/relationships/header" Target="header32.xml"/><Relationship Id="rId34" Type="http://schemas.openxmlformats.org/officeDocument/2006/relationships/header" Target="header31.xml"/><Relationship Id="rId33" Type="http://schemas.openxmlformats.org/officeDocument/2006/relationships/header" Target="header30.xml"/><Relationship Id="rId32" Type="http://schemas.openxmlformats.org/officeDocument/2006/relationships/header" Target="header29.xml"/><Relationship Id="rId31" Type="http://schemas.openxmlformats.org/officeDocument/2006/relationships/header" Target="header28.xml"/><Relationship Id="rId30" Type="http://schemas.openxmlformats.org/officeDocument/2006/relationships/header" Target="header27.xml"/><Relationship Id="rId3" Type="http://schemas.openxmlformats.org/officeDocument/2006/relationships/header" Target="header1.xml"/><Relationship Id="rId29" Type="http://schemas.openxmlformats.org/officeDocument/2006/relationships/header" Target="header26.xml"/><Relationship Id="rId28" Type="http://schemas.openxmlformats.org/officeDocument/2006/relationships/header" Target="header25.xml"/><Relationship Id="rId27" Type="http://schemas.openxmlformats.org/officeDocument/2006/relationships/header" Target="header24.xml"/><Relationship Id="rId26" Type="http://schemas.openxmlformats.org/officeDocument/2006/relationships/header" Target="header23.xml"/><Relationship Id="rId25" Type="http://schemas.openxmlformats.org/officeDocument/2006/relationships/header" Target="header22.xml"/><Relationship Id="rId24" Type="http://schemas.openxmlformats.org/officeDocument/2006/relationships/header" Target="header21.xml"/><Relationship Id="rId232" Type="http://schemas.openxmlformats.org/officeDocument/2006/relationships/fontTable" Target="fontTable.xml"/><Relationship Id="rId231" Type="http://schemas.openxmlformats.org/officeDocument/2006/relationships/customXml" Target="../customXml/item2.xml"/><Relationship Id="rId230" Type="http://schemas.openxmlformats.org/officeDocument/2006/relationships/numbering" Target="numbering.xml"/><Relationship Id="rId23" Type="http://schemas.openxmlformats.org/officeDocument/2006/relationships/header" Target="header20.xml"/><Relationship Id="rId229" Type="http://schemas.openxmlformats.org/officeDocument/2006/relationships/customXml" Target="../customXml/item1.xml"/><Relationship Id="rId228" Type="http://schemas.openxmlformats.org/officeDocument/2006/relationships/image" Target="media/image172.png"/><Relationship Id="rId227" Type="http://schemas.openxmlformats.org/officeDocument/2006/relationships/image" Target="media/image171.png"/><Relationship Id="rId226" Type="http://schemas.openxmlformats.org/officeDocument/2006/relationships/image" Target="media/image170.png"/><Relationship Id="rId225" Type="http://schemas.openxmlformats.org/officeDocument/2006/relationships/image" Target="media/image169.png"/><Relationship Id="rId224" Type="http://schemas.openxmlformats.org/officeDocument/2006/relationships/image" Target="media/image168.png"/><Relationship Id="rId223" Type="http://schemas.openxmlformats.org/officeDocument/2006/relationships/image" Target="media/image167.png"/><Relationship Id="rId222" Type="http://schemas.openxmlformats.org/officeDocument/2006/relationships/image" Target="media/image166.png"/><Relationship Id="rId221" Type="http://schemas.openxmlformats.org/officeDocument/2006/relationships/image" Target="media/image165.png"/><Relationship Id="rId220" Type="http://schemas.openxmlformats.org/officeDocument/2006/relationships/image" Target="media/image164.png"/><Relationship Id="rId22" Type="http://schemas.openxmlformats.org/officeDocument/2006/relationships/header" Target="header19.xml"/><Relationship Id="rId219" Type="http://schemas.openxmlformats.org/officeDocument/2006/relationships/image" Target="media/image163.png"/><Relationship Id="rId218" Type="http://schemas.openxmlformats.org/officeDocument/2006/relationships/image" Target="media/image162.png"/><Relationship Id="rId217" Type="http://schemas.openxmlformats.org/officeDocument/2006/relationships/image" Target="media/image161.png"/><Relationship Id="rId216" Type="http://schemas.openxmlformats.org/officeDocument/2006/relationships/image" Target="media/image160.png"/><Relationship Id="rId215" Type="http://schemas.openxmlformats.org/officeDocument/2006/relationships/image" Target="media/image159.png"/><Relationship Id="rId214" Type="http://schemas.openxmlformats.org/officeDocument/2006/relationships/image" Target="media/image158.png"/><Relationship Id="rId213" Type="http://schemas.openxmlformats.org/officeDocument/2006/relationships/image" Target="media/image157.png"/><Relationship Id="rId212" Type="http://schemas.openxmlformats.org/officeDocument/2006/relationships/image" Target="media/image156.png"/><Relationship Id="rId211" Type="http://schemas.openxmlformats.org/officeDocument/2006/relationships/image" Target="media/image155.png"/><Relationship Id="rId210" Type="http://schemas.openxmlformats.org/officeDocument/2006/relationships/image" Target="media/image154.png"/><Relationship Id="rId21" Type="http://schemas.openxmlformats.org/officeDocument/2006/relationships/header" Target="header18.xml"/><Relationship Id="rId209" Type="http://schemas.openxmlformats.org/officeDocument/2006/relationships/image" Target="media/image153.png"/><Relationship Id="rId208" Type="http://schemas.openxmlformats.org/officeDocument/2006/relationships/image" Target="media/image152.png"/><Relationship Id="rId207" Type="http://schemas.openxmlformats.org/officeDocument/2006/relationships/image" Target="media/image151.png"/><Relationship Id="rId206" Type="http://schemas.openxmlformats.org/officeDocument/2006/relationships/image" Target="media/image150.png"/><Relationship Id="rId205" Type="http://schemas.openxmlformats.org/officeDocument/2006/relationships/image" Target="media/image149.png"/><Relationship Id="rId204" Type="http://schemas.openxmlformats.org/officeDocument/2006/relationships/image" Target="media/image148.png"/><Relationship Id="rId203" Type="http://schemas.openxmlformats.org/officeDocument/2006/relationships/image" Target="media/image147.png"/><Relationship Id="rId202" Type="http://schemas.openxmlformats.org/officeDocument/2006/relationships/image" Target="media/image146.emf"/><Relationship Id="rId201" Type="http://schemas.openxmlformats.org/officeDocument/2006/relationships/image" Target="media/image145.emf"/><Relationship Id="rId200" Type="http://schemas.openxmlformats.org/officeDocument/2006/relationships/image" Target="media/image144.emf"/><Relationship Id="rId20" Type="http://schemas.openxmlformats.org/officeDocument/2006/relationships/header" Target="header17.xml"/><Relationship Id="rId2" Type="http://schemas.openxmlformats.org/officeDocument/2006/relationships/settings" Target="settings.xml"/><Relationship Id="rId199" Type="http://schemas.openxmlformats.org/officeDocument/2006/relationships/image" Target="media/image143.png"/><Relationship Id="rId198" Type="http://schemas.openxmlformats.org/officeDocument/2006/relationships/image" Target="media/image142.png"/><Relationship Id="rId197" Type="http://schemas.openxmlformats.org/officeDocument/2006/relationships/image" Target="media/image141.png"/><Relationship Id="rId196" Type="http://schemas.openxmlformats.org/officeDocument/2006/relationships/image" Target="media/image140.png"/><Relationship Id="rId195" Type="http://schemas.openxmlformats.org/officeDocument/2006/relationships/image" Target="media/image139.png"/><Relationship Id="rId194" Type="http://schemas.openxmlformats.org/officeDocument/2006/relationships/image" Target="media/image138.png"/><Relationship Id="rId193" Type="http://schemas.openxmlformats.org/officeDocument/2006/relationships/image" Target="media/image137.png"/><Relationship Id="rId192" Type="http://schemas.openxmlformats.org/officeDocument/2006/relationships/image" Target="media/image136.png"/><Relationship Id="rId191" Type="http://schemas.openxmlformats.org/officeDocument/2006/relationships/image" Target="media/image135.png"/><Relationship Id="rId190" Type="http://schemas.openxmlformats.org/officeDocument/2006/relationships/image" Target="media/image134.png"/><Relationship Id="rId19" Type="http://schemas.openxmlformats.org/officeDocument/2006/relationships/header" Target="header16.xml"/><Relationship Id="rId189" Type="http://schemas.openxmlformats.org/officeDocument/2006/relationships/image" Target="media/image133.png"/><Relationship Id="rId188" Type="http://schemas.openxmlformats.org/officeDocument/2006/relationships/image" Target="media/image132.png"/><Relationship Id="rId187" Type="http://schemas.openxmlformats.org/officeDocument/2006/relationships/image" Target="media/image131.png"/><Relationship Id="rId186" Type="http://schemas.openxmlformats.org/officeDocument/2006/relationships/image" Target="media/image130.png"/><Relationship Id="rId185" Type="http://schemas.openxmlformats.org/officeDocument/2006/relationships/image" Target="media/image129.png"/><Relationship Id="rId184" Type="http://schemas.openxmlformats.org/officeDocument/2006/relationships/image" Target="media/image128.emf"/><Relationship Id="rId183" Type="http://schemas.openxmlformats.org/officeDocument/2006/relationships/image" Target="media/image127.png"/><Relationship Id="rId182" Type="http://schemas.openxmlformats.org/officeDocument/2006/relationships/image" Target="media/image126.png"/><Relationship Id="rId181" Type="http://schemas.openxmlformats.org/officeDocument/2006/relationships/image" Target="media/image125.png"/><Relationship Id="rId180" Type="http://schemas.openxmlformats.org/officeDocument/2006/relationships/image" Target="media/image124.png"/><Relationship Id="rId18" Type="http://schemas.openxmlformats.org/officeDocument/2006/relationships/header" Target="header15.xml"/><Relationship Id="rId179" Type="http://schemas.openxmlformats.org/officeDocument/2006/relationships/image" Target="media/image123.png"/><Relationship Id="rId178" Type="http://schemas.openxmlformats.org/officeDocument/2006/relationships/image" Target="media/image122.png"/><Relationship Id="rId177" Type="http://schemas.openxmlformats.org/officeDocument/2006/relationships/image" Target="media/image121.png"/><Relationship Id="rId176" Type="http://schemas.openxmlformats.org/officeDocument/2006/relationships/image" Target="media/image120.emf"/><Relationship Id="rId175" Type="http://schemas.openxmlformats.org/officeDocument/2006/relationships/image" Target="media/image119.png"/><Relationship Id="rId174" Type="http://schemas.openxmlformats.org/officeDocument/2006/relationships/image" Target="media/image118.png"/><Relationship Id="rId173" Type="http://schemas.openxmlformats.org/officeDocument/2006/relationships/image" Target="media/image117.png"/><Relationship Id="rId172" Type="http://schemas.openxmlformats.org/officeDocument/2006/relationships/image" Target="media/image116.png"/><Relationship Id="rId171" Type="http://schemas.openxmlformats.org/officeDocument/2006/relationships/image" Target="media/image115.png"/><Relationship Id="rId170" Type="http://schemas.openxmlformats.org/officeDocument/2006/relationships/image" Target="media/image114.png"/><Relationship Id="rId17" Type="http://schemas.openxmlformats.org/officeDocument/2006/relationships/header" Target="header14.xml"/><Relationship Id="rId169" Type="http://schemas.openxmlformats.org/officeDocument/2006/relationships/image" Target="media/image113.png"/><Relationship Id="rId168" Type="http://schemas.openxmlformats.org/officeDocument/2006/relationships/image" Target="media/image112.png"/><Relationship Id="rId167" Type="http://schemas.openxmlformats.org/officeDocument/2006/relationships/image" Target="media/image111.png"/><Relationship Id="rId166" Type="http://schemas.openxmlformats.org/officeDocument/2006/relationships/image" Target="media/image110.png"/><Relationship Id="rId165" Type="http://schemas.openxmlformats.org/officeDocument/2006/relationships/image" Target="media/image109.png"/><Relationship Id="rId164" Type="http://schemas.openxmlformats.org/officeDocument/2006/relationships/image" Target="media/image108.png"/><Relationship Id="rId163" Type="http://schemas.openxmlformats.org/officeDocument/2006/relationships/image" Target="media/image107.emf"/><Relationship Id="rId162" Type="http://schemas.openxmlformats.org/officeDocument/2006/relationships/image" Target="media/image106.emf"/><Relationship Id="rId161" Type="http://schemas.openxmlformats.org/officeDocument/2006/relationships/image" Target="media/image105.png"/><Relationship Id="rId160" Type="http://schemas.openxmlformats.org/officeDocument/2006/relationships/image" Target="media/image104.png"/><Relationship Id="rId16" Type="http://schemas.openxmlformats.org/officeDocument/2006/relationships/header" Target="header13.xml"/><Relationship Id="rId159" Type="http://schemas.openxmlformats.org/officeDocument/2006/relationships/image" Target="media/image103.png"/><Relationship Id="rId158" Type="http://schemas.openxmlformats.org/officeDocument/2006/relationships/image" Target="media/image102.png"/><Relationship Id="rId157" Type="http://schemas.openxmlformats.org/officeDocument/2006/relationships/image" Target="media/image101.png"/><Relationship Id="rId156" Type="http://schemas.openxmlformats.org/officeDocument/2006/relationships/image" Target="media/image100.png"/><Relationship Id="rId155" Type="http://schemas.openxmlformats.org/officeDocument/2006/relationships/image" Target="media/image99.png"/><Relationship Id="rId154" Type="http://schemas.openxmlformats.org/officeDocument/2006/relationships/image" Target="media/image98.png"/><Relationship Id="rId153" Type="http://schemas.openxmlformats.org/officeDocument/2006/relationships/image" Target="media/image97.png"/><Relationship Id="rId152" Type="http://schemas.openxmlformats.org/officeDocument/2006/relationships/image" Target="media/image96.png"/><Relationship Id="rId151" Type="http://schemas.openxmlformats.org/officeDocument/2006/relationships/image" Target="media/image95.png"/><Relationship Id="rId150" Type="http://schemas.openxmlformats.org/officeDocument/2006/relationships/image" Target="media/image94.png"/><Relationship Id="rId15" Type="http://schemas.openxmlformats.org/officeDocument/2006/relationships/header" Target="header12.xml"/><Relationship Id="rId149" Type="http://schemas.openxmlformats.org/officeDocument/2006/relationships/image" Target="media/image93.png"/><Relationship Id="rId148" Type="http://schemas.openxmlformats.org/officeDocument/2006/relationships/image" Target="media/image92.emf"/><Relationship Id="rId147" Type="http://schemas.openxmlformats.org/officeDocument/2006/relationships/image" Target="media/image91.emf"/><Relationship Id="rId146" Type="http://schemas.openxmlformats.org/officeDocument/2006/relationships/image" Target="media/image90.emf"/><Relationship Id="rId145" Type="http://schemas.openxmlformats.org/officeDocument/2006/relationships/image" Target="media/image89.png"/><Relationship Id="rId144" Type="http://schemas.openxmlformats.org/officeDocument/2006/relationships/image" Target="media/image88.png"/><Relationship Id="rId143" Type="http://schemas.openxmlformats.org/officeDocument/2006/relationships/image" Target="media/image87.png"/><Relationship Id="rId142" Type="http://schemas.openxmlformats.org/officeDocument/2006/relationships/image" Target="media/image86.png"/><Relationship Id="rId141" Type="http://schemas.openxmlformats.org/officeDocument/2006/relationships/image" Target="media/image85.png"/><Relationship Id="rId140" Type="http://schemas.openxmlformats.org/officeDocument/2006/relationships/image" Target="media/image84.png"/><Relationship Id="rId14" Type="http://schemas.openxmlformats.org/officeDocument/2006/relationships/header" Target="header11.xml"/><Relationship Id="rId139" Type="http://schemas.openxmlformats.org/officeDocument/2006/relationships/image" Target="media/image83.png"/><Relationship Id="rId138" Type="http://schemas.openxmlformats.org/officeDocument/2006/relationships/image" Target="media/image82.png"/><Relationship Id="rId137" Type="http://schemas.openxmlformats.org/officeDocument/2006/relationships/image" Target="media/image81.png"/><Relationship Id="rId136" Type="http://schemas.openxmlformats.org/officeDocument/2006/relationships/image" Target="media/image80.png"/><Relationship Id="rId135" Type="http://schemas.openxmlformats.org/officeDocument/2006/relationships/image" Target="media/image79.png"/><Relationship Id="rId134" Type="http://schemas.openxmlformats.org/officeDocument/2006/relationships/image" Target="media/image78.png"/><Relationship Id="rId133" Type="http://schemas.openxmlformats.org/officeDocument/2006/relationships/image" Target="media/image77.wmf"/><Relationship Id="rId132" Type="http://schemas.openxmlformats.org/officeDocument/2006/relationships/oleObject" Target="embeddings/oleObject18.bin"/><Relationship Id="rId131" Type="http://schemas.openxmlformats.org/officeDocument/2006/relationships/image" Target="media/image76.png"/><Relationship Id="rId130" Type="http://schemas.openxmlformats.org/officeDocument/2006/relationships/image" Target="media/image75.png"/><Relationship Id="rId13" Type="http://schemas.openxmlformats.org/officeDocument/2006/relationships/header" Target="header10.xml"/><Relationship Id="rId129" Type="http://schemas.openxmlformats.org/officeDocument/2006/relationships/image" Target="media/image74.wmf"/><Relationship Id="rId128" Type="http://schemas.openxmlformats.org/officeDocument/2006/relationships/oleObject" Target="embeddings/oleObject17.bin"/><Relationship Id="rId127" Type="http://schemas.openxmlformats.org/officeDocument/2006/relationships/image" Target="media/image73.png"/><Relationship Id="rId126" Type="http://schemas.openxmlformats.org/officeDocument/2006/relationships/image" Target="media/image72.wmf"/><Relationship Id="rId125" Type="http://schemas.openxmlformats.org/officeDocument/2006/relationships/oleObject" Target="embeddings/oleObject16.bin"/><Relationship Id="rId124" Type="http://schemas.openxmlformats.org/officeDocument/2006/relationships/image" Target="media/image71.png"/><Relationship Id="rId123" Type="http://schemas.openxmlformats.org/officeDocument/2006/relationships/image" Target="media/image70.png"/><Relationship Id="rId122" Type="http://schemas.openxmlformats.org/officeDocument/2006/relationships/image" Target="media/image69.png"/><Relationship Id="rId121" Type="http://schemas.openxmlformats.org/officeDocument/2006/relationships/image" Target="media/image68.png"/><Relationship Id="rId120" Type="http://schemas.openxmlformats.org/officeDocument/2006/relationships/image" Target="media/image67.png"/><Relationship Id="rId12" Type="http://schemas.openxmlformats.org/officeDocument/2006/relationships/header" Target="header9.xml"/><Relationship Id="rId119" Type="http://schemas.openxmlformats.org/officeDocument/2006/relationships/image" Target="media/image66.png"/><Relationship Id="rId118" Type="http://schemas.openxmlformats.org/officeDocument/2006/relationships/image" Target="media/image65.png"/><Relationship Id="rId117" Type="http://schemas.openxmlformats.org/officeDocument/2006/relationships/image" Target="media/image64.png"/><Relationship Id="rId116" Type="http://schemas.openxmlformats.org/officeDocument/2006/relationships/image" Target="media/image63.png"/><Relationship Id="rId115" Type="http://schemas.openxmlformats.org/officeDocument/2006/relationships/image" Target="media/image62.png"/><Relationship Id="rId114" Type="http://schemas.openxmlformats.org/officeDocument/2006/relationships/image" Target="media/image61.png"/><Relationship Id="rId113" Type="http://schemas.openxmlformats.org/officeDocument/2006/relationships/image" Target="media/image60.png"/><Relationship Id="rId112" Type="http://schemas.openxmlformats.org/officeDocument/2006/relationships/image" Target="media/image59.png"/><Relationship Id="rId111" Type="http://schemas.openxmlformats.org/officeDocument/2006/relationships/image" Target="media/image58.png"/><Relationship Id="rId110" Type="http://schemas.openxmlformats.org/officeDocument/2006/relationships/image" Target="media/image57.png"/><Relationship Id="rId11" Type="http://schemas.openxmlformats.org/officeDocument/2006/relationships/header" Target="header8.xml"/><Relationship Id="rId109" Type="http://schemas.openxmlformats.org/officeDocument/2006/relationships/image" Target="media/image56.emf"/><Relationship Id="rId108" Type="http://schemas.openxmlformats.org/officeDocument/2006/relationships/image" Target="media/image55.emf"/><Relationship Id="rId107" Type="http://schemas.openxmlformats.org/officeDocument/2006/relationships/image" Target="media/image54.emf"/><Relationship Id="rId106" Type="http://schemas.openxmlformats.org/officeDocument/2006/relationships/image" Target="media/image53.emf"/><Relationship Id="rId105" Type="http://schemas.openxmlformats.org/officeDocument/2006/relationships/image" Target="media/image52.emf"/><Relationship Id="rId104" Type="http://schemas.openxmlformats.org/officeDocument/2006/relationships/image" Target="media/image51.emf"/><Relationship Id="rId103" Type="http://schemas.openxmlformats.org/officeDocument/2006/relationships/image" Target="media/image50.emf"/><Relationship Id="rId102" Type="http://schemas.openxmlformats.org/officeDocument/2006/relationships/image" Target="media/image49.emf"/><Relationship Id="rId101" Type="http://schemas.openxmlformats.org/officeDocument/2006/relationships/image" Target="media/image48.emf"/><Relationship Id="rId100" Type="http://schemas.openxmlformats.org/officeDocument/2006/relationships/image" Target="media/image47.emf"/><Relationship Id="rId10" Type="http://schemas.openxmlformats.org/officeDocument/2006/relationships/header" Target="header7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9E5EE3-CE46-4787-86AB-8EEC7F9EC4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76</Pages>
  <Words>30867</Words>
  <Characters>31805</Characters>
  <Lines>44</Lines>
  <Paragraphs>12</Paragraphs>
  <TotalTime>778</TotalTime>
  <ScaleCrop>false</ScaleCrop>
  <LinksUpToDate>false</LinksUpToDate>
  <CharactersWithSpaces>31956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2020-03-29T09:26:00Z</dcterms:created>
  <dc:creator>虎虎1419998261</dc:creator>
  <cp:lastModifiedBy>86185</cp:lastModifiedBy>
  <dcterms:modified xsi:type="dcterms:W3CDTF">2022-05-17T03:19:09Z</dcterms:modified>
  <cp:revision>110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FBFE12279F0F4464B93C1D16B39B2A35</vt:lpwstr>
  </property>
</Properties>
</file>